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rsidR="0033481F" w:rsidRDefault="00F126CF" w:rsidP="007E30E4">
      <w:pPr>
        <w:pStyle w:val="Title"/>
      </w:pPr>
      <w:r>
        <w:rPr>
          <w:noProof/>
        </w:rPr>
        <mc:AlternateContent>
          <mc:Choice Requires="wps">
            <w:drawing>
              <wp:anchor distT="0" distB="0" distL="114300" distR="114300" simplePos="0" relativeHeight="251658239" behindDoc="0" locked="0" layoutInCell="1" allowOverlap="1">
                <wp:simplePos x="0" y="0"/>
                <wp:positionH relativeFrom="column">
                  <wp:posOffset>-321733</wp:posOffset>
                </wp:positionH>
                <wp:positionV relativeFrom="paragraph">
                  <wp:posOffset>-729827</wp:posOffset>
                </wp:positionV>
                <wp:extent cx="7103533" cy="2091267"/>
                <wp:effectExtent l="0" t="0" r="0" b="4445"/>
                <wp:wrapNone/>
                <wp:docPr id="7" name="Rectangle 7"/>
                <wp:cNvGraphicFramePr/>
                <a:graphic xmlns:a="http://schemas.openxmlformats.org/drawingml/2006/main">
                  <a:graphicData uri="http://schemas.microsoft.com/office/word/2010/wordprocessingShape">
                    <wps:wsp>
                      <wps:cNvSpPr/>
                      <wps:spPr>
                        <a:xfrm>
                          <a:off x="0" y="0"/>
                          <a:ext cx="7103533" cy="209126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707A199" id="Rectangle 7" o:spid="_x0000_s1026" style="position:absolute;margin-left:-25.35pt;margin-top:-57.45pt;width:559.35pt;height:164.65pt;z-index:251658239;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" fillcolor="white [3212]" stroked="f" strokeweight="1pt"/>
            </w:pict>
          </mc:Fallback>
        </mc:AlternateContent>
      </w:r>
      <w:r w:rsidR="00D43D54" w:rsidRPr="007E30E4">
        <w:rPr>
          <w:noProof/>
        </w:rPr>
        <w:drawing>
          <wp:anchor distT="0" distB="0" distL="114300" distR="114300" simplePos="0" relativeHeight="251660288" behindDoc="0" locked="0" layoutInCell="1" allowOverlap="1" wp14:anchorId="08C3F443" wp14:editId="607E54B4">
            <wp:simplePos x="0" y="0"/>
            <wp:positionH relativeFrom="column">
              <wp:posOffset>226076</wp:posOffset>
            </wp:positionH>
            <wp:positionV relativeFrom="paragraph">
              <wp:posOffset>2405380</wp:posOffset>
            </wp:positionV>
            <wp:extent cx="801370" cy="280035"/>
            <wp:effectExtent l="0" t="0" r="0" b="5715"/>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a:picLocks noChangeAspect="1"/>
                    </pic:cNvPicPr>
                  </pic:nvPicPr>
                  <pic:blipFill>
                    <a:blip r:embed="rId8" cstate="print">
                      <a:extLst>
                        <a:ext uri="{28A0092B-C50C-407E-A947-70E740481C1C}">
                          <a14:useLocalDpi xmlns:a14="http://schemas.microsoft.com/office/drawing/2010/main" val="0"/>
                        </a:ext>
                      </a:extLst>
                    </a:blip>
                    <a:stretch>
                      <a:fillRect/>
                    </a:stretch>
                  </pic:blipFill>
                  <pic:spPr>
                    <a:xfrm>
                      <a:off x="0" y="0"/>
                      <a:ext cx="801370" cy="280035"/>
                    </a:xfrm>
                    <a:prstGeom prst="rect">
                      <a:avLst/>
                    </a:prstGeom>
                  </pic:spPr>
                </pic:pic>
              </a:graphicData>
            </a:graphic>
            <wp14:sizeRelH relativeFrom="margin">
              <wp14:pctWidth>0</wp14:pctWidth>
            </wp14:sizeRelH>
            <wp14:sizeRelV relativeFrom="margin">
              <wp14:pctHeight>0</wp14:pctHeight>
            </wp14:sizeRelV>
          </wp:anchor>
        </w:drawing>
      </w:r>
      <w:r w:rsidR="00CF5071">
        <w:br/>
      </w:r>
      <w:r w:rsidR="004F38AB" w:rsidRPr="007E30E4">
        <w:rPr>
          <w:noProof/>
        </w:rPr>
        <mc:AlternateContent>
          <mc:Choice Requires="wps">
            <w:drawing>
              <wp:anchor distT="0" distB="0" distL="114300" distR="114300" simplePos="0" relativeHeight="251659264" behindDoc="0" locked="0" layoutInCell="1" allowOverlap="1" wp14:anchorId="6984573A" wp14:editId="1513441C">
                <wp:simplePos x="0" y="0"/>
                <wp:positionH relativeFrom="column">
                  <wp:posOffset>0</wp:posOffset>
                </wp:positionH>
                <wp:positionV relativeFrom="paragraph">
                  <wp:posOffset>-462280</wp:posOffset>
                </wp:positionV>
                <wp:extent cx="6485890" cy="3329305"/>
                <wp:effectExtent l="0" t="0" r="3810" b="0"/>
                <wp:wrapNone/>
                <wp:docPr id="2" name="Rectangle 2"/>
                <wp:cNvGraphicFramePr/>
                <a:graphic xmlns:a="http://schemas.openxmlformats.org/drawingml/2006/main">
                  <a:graphicData uri="http://schemas.microsoft.com/office/word/2010/wordprocessingShape">
                    <wps:wsp>
                      <wps:cNvSpPr/>
                      <wps:spPr>
                        <a:xfrm>
                          <a:off x="0" y="0"/>
                          <a:ext cx="6485890" cy="3329305"/>
                        </a:xfrm>
                        <a:prstGeom prst="rect">
                          <a:avLst/>
                        </a:prstGeom>
                        <a:gradFill>
                          <a:gsLst>
                            <a:gs pos="0">
                              <a:schemeClr val="accent2"/>
                            </a:gs>
                            <a:gs pos="79000">
                              <a:srgbClr val="E12726"/>
                            </a:gs>
                          </a:gsLst>
                          <a:lin ang="4200000" scaled="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AF6CBB" id="Rectangle 2" o:spid="_x0000_s1026" style="position:absolute;margin-left:0;margin-top:-36.4pt;width:510.7pt;height:262.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" fillcolor="#ed7d31 [3205]" stroked="f" strokeweight="1pt">
                <v:fill color2="#e12726" angle="20" colors="0 #ed7d31;51773f #e12726" focus="100%" type="gradient">
                  <o:fill v:ext="view" type="gradientUnscaled"/>
                </v:fill>
              </v:rect>
            </w:pict>
          </mc:Fallback>
        </mc:AlternateContent>
      </w:r>
      <w:r w:rsidR="00D44261">
        <w:t>Ivanti Cloud Security</w:t>
      </w:r>
    </w:p>
    <w:p w:rsidR="004F38AB" w:rsidRDefault="00D44261" w:rsidP="00052436">
      <w:pPr>
        <w:pStyle w:val="Subtitle"/>
      </w:pPr>
      <w:r>
        <w:t>White Paper</w:t>
      </w:r>
    </w:p>
    <w:p w:rsidR="007E30E4" w:rsidRDefault="007E30E4">
      <w:r>
        <w:br w:type="page"/>
      </w:r>
    </w:p>
    <w:sdt>
      <w:sdtPr>
        <w:rPr>
          <w:sz w:val="21"/>
        </w:rPr>
        <w:id w:val="-1005279795"/>
        <w:docPartObj>
          <w:docPartGallery w:val="Table of Contents"/>
          <w:docPartUnique/>
        </w:docPartObj>
      </w:sdtPr>
      <w:sdtEndPr>
        <w:rPr>
          <w:b/>
          <w:bCs/>
          <w:noProof/>
        </w:rPr>
      </w:sdtEndPr>
      <w:sdtContent>
        <w:p w:rsidR="00974ECB" w:rsidRPr="00A45BDF" w:rsidRDefault="00974ECB" w:rsidP="00A45BDF"/>
        <w:p w:rsidR="00D55404" w:rsidRPr="00A45BDF" w:rsidRDefault="00D55404" w:rsidP="00B201EB">
          <w:pPr>
            <w:pStyle w:val="TOCHeading"/>
            <w:spacing w:before="360"/>
            <w:ind w:left="547" w:right="547"/>
          </w:pPr>
          <w:r w:rsidRPr="00A45BDF">
            <w:t>Contents</w:t>
          </w:r>
        </w:p>
        <w:p w:rsidR="006F33AF" w:rsidRDefault="00B86CD5">
          <w:pPr>
            <w:pStyle w:val="TOC1"/>
            <w:rPr>
              <w:rFonts w:eastAsiaTheme="minorEastAsia"/>
              <w:noProof/>
              <w:sz w:val="24"/>
              <w:szCs w:val="24"/>
            </w:rPr>
          </w:pPr>
          <w:r>
            <w:fldChar w:fldCharType="begin"/>
          </w:r>
          <w:r>
            <w:instrText xml:space="preserve"> TOC \o "1-3" \h \z \u </w:instrText>
          </w:r>
          <w:r>
            <w:fldChar w:fldCharType="separate"/>
          </w:r>
          <w:hyperlink w:anchor="_Toc3205882" w:history="1">
            <w:r w:rsidR="006F33AF" w:rsidRPr="0021736A">
              <w:rPr>
                <w:rStyle w:val="Hyperlink"/>
              </w:rPr>
              <w:t>Welcome to Ivanti Cloud</w:t>
            </w:r>
            <w:r w:rsidR="006F33AF">
              <w:rPr>
                <w:noProof/>
                <w:webHidden/>
              </w:rPr>
              <w:tab/>
            </w:r>
            <w:r w:rsidR="006F33AF">
              <w:rPr>
                <w:noProof/>
                <w:webHidden/>
              </w:rPr>
              <w:fldChar w:fldCharType="begin"/>
            </w:r>
            <w:r w:rsidR="006F33AF">
              <w:rPr>
                <w:noProof/>
                <w:webHidden/>
              </w:rPr>
              <w:instrText xml:space="preserve"> PAGEREF _Toc3205882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1"/>
            <w:rPr>
              <w:rFonts w:eastAsiaTheme="minorEastAsia"/>
              <w:noProof/>
              <w:sz w:val="24"/>
              <w:szCs w:val="24"/>
            </w:rPr>
          </w:pPr>
          <w:hyperlink w:anchor="_Toc3205883" w:history="1">
            <w:r w:rsidR="006F33AF" w:rsidRPr="0021736A">
              <w:rPr>
                <w:rStyle w:val="Hyperlink"/>
              </w:rPr>
              <w:t>Executive Summary</w:t>
            </w:r>
            <w:r w:rsidR="006F33AF">
              <w:rPr>
                <w:noProof/>
                <w:webHidden/>
              </w:rPr>
              <w:tab/>
            </w:r>
            <w:r w:rsidR="006F33AF">
              <w:rPr>
                <w:noProof/>
                <w:webHidden/>
              </w:rPr>
              <w:fldChar w:fldCharType="begin"/>
            </w:r>
            <w:r w:rsidR="006F33AF">
              <w:rPr>
                <w:noProof/>
                <w:webHidden/>
              </w:rPr>
              <w:instrText xml:space="preserve"> PAGEREF _Toc3205883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1"/>
            <w:rPr>
              <w:rFonts w:eastAsiaTheme="minorEastAsia"/>
              <w:noProof/>
              <w:sz w:val="24"/>
              <w:szCs w:val="24"/>
            </w:rPr>
          </w:pPr>
          <w:hyperlink w:anchor="_Toc3205884" w:history="1">
            <w:r w:rsidR="006F33AF" w:rsidRPr="0021736A">
              <w:rPr>
                <w:rStyle w:val="Hyperlink"/>
              </w:rPr>
              <w:t>1. Security Organization and Culture</w:t>
            </w:r>
            <w:r w:rsidR="006F33AF">
              <w:rPr>
                <w:noProof/>
                <w:webHidden/>
              </w:rPr>
              <w:tab/>
            </w:r>
            <w:r w:rsidR="006F33AF">
              <w:rPr>
                <w:noProof/>
                <w:webHidden/>
              </w:rPr>
              <w:fldChar w:fldCharType="begin"/>
            </w:r>
            <w:r w:rsidR="006F33AF">
              <w:rPr>
                <w:noProof/>
                <w:webHidden/>
              </w:rPr>
              <w:instrText xml:space="preserve"> PAGEREF _Toc3205884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85" w:history="1">
            <w:r w:rsidR="006F33AF" w:rsidRPr="0021736A">
              <w:rPr>
                <w:rStyle w:val="Hyperlink"/>
              </w:rPr>
              <w:t>1.1 Security Organization</w:t>
            </w:r>
            <w:r w:rsidR="006F33AF">
              <w:rPr>
                <w:noProof/>
                <w:webHidden/>
              </w:rPr>
              <w:tab/>
            </w:r>
            <w:r w:rsidR="006F33AF">
              <w:rPr>
                <w:noProof/>
                <w:webHidden/>
              </w:rPr>
              <w:fldChar w:fldCharType="begin"/>
            </w:r>
            <w:r w:rsidR="006F33AF">
              <w:rPr>
                <w:noProof/>
                <w:webHidden/>
              </w:rPr>
              <w:instrText xml:space="preserve"> PAGEREF _Toc3205885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86" w:history="1">
            <w:r w:rsidR="006F33AF" w:rsidRPr="0021736A">
              <w:rPr>
                <w:rStyle w:val="Hyperlink"/>
              </w:rPr>
              <w:t>1.2 Background Checks</w:t>
            </w:r>
            <w:r w:rsidR="006F33AF">
              <w:rPr>
                <w:noProof/>
                <w:webHidden/>
              </w:rPr>
              <w:tab/>
            </w:r>
            <w:r w:rsidR="006F33AF">
              <w:rPr>
                <w:noProof/>
                <w:webHidden/>
              </w:rPr>
              <w:fldChar w:fldCharType="begin"/>
            </w:r>
            <w:r w:rsidR="006F33AF">
              <w:rPr>
                <w:noProof/>
                <w:webHidden/>
              </w:rPr>
              <w:instrText xml:space="preserve"> PAGEREF _Toc3205886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87" w:history="1">
            <w:r w:rsidR="006F33AF" w:rsidRPr="0021736A">
              <w:rPr>
                <w:rStyle w:val="Hyperlink"/>
              </w:rPr>
              <w:t>1.3 Security Training</w:t>
            </w:r>
            <w:r w:rsidR="006F33AF">
              <w:rPr>
                <w:noProof/>
                <w:webHidden/>
              </w:rPr>
              <w:tab/>
            </w:r>
            <w:r w:rsidR="006F33AF">
              <w:rPr>
                <w:noProof/>
                <w:webHidden/>
              </w:rPr>
              <w:fldChar w:fldCharType="begin"/>
            </w:r>
            <w:r w:rsidR="006F33AF">
              <w:rPr>
                <w:noProof/>
                <w:webHidden/>
              </w:rPr>
              <w:instrText xml:space="preserve"> PAGEREF _Toc3205887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1"/>
            <w:rPr>
              <w:rFonts w:eastAsiaTheme="minorEastAsia"/>
              <w:noProof/>
              <w:sz w:val="24"/>
              <w:szCs w:val="24"/>
            </w:rPr>
          </w:pPr>
          <w:hyperlink w:anchor="_Toc3205888" w:history="1">
            <w:r w:rsidR="006F33AF" w:rsidRPr="0021736A">
              <w:rPr>
                <w:rStyle w:val="Hyperlink"/>
              </w:rPr>
              <w:t>2. Cloud Development Security</w:t>
            </w:r>
            <w:r w:rsidR="006F33AF">
              <w:rPr>
                <w:noProof/>
                <w:webHidden/>
              </w:rPr>
              <w:tab/>
            </w:r>
            <w:r w:rsidR="006F33AF">
              <w:rPr>
                <w:noProof/>
                <w:webHidden/>
              </w:rPr>
              <w:fldChar w:fldCharType="begin"/>
            </w:r>
            <w:r w:rsidR="006F33AF">
              <w:rPr>
                <w:noProof/>
                <w:webHidden/>
              </w:rPr>
              <w:instrText xml:space="preserve"> PAGEREF _Toc3205888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89" w:history="1">
            <w:r w:rsidR="006F33AF" w:rsidRPr="0021736A">
              <w:rPr>
                <w:rStyle w:val="Hyperlink"/>
              </w:rPr>
              <w:t>2.1 Design Reviews</w:t>
            </w:r>
            <w:r w:rsidR="006F33AF">
              <w:rPr>
                <w:noProof/>
                <w:webHidden/>
              </w:rPr>
              <w:tab/>
            </w:r>
            <w:r w:rsidR="006F33AF">
              <w:rPr>
                <w:noProof/>
                <w:webHidden/>
              </w:rPr>
              <w:fldChar w:fldCharType="begin"/>
            </w:r>
            <w:r w:rsidR="006F33AF">
              <w:rPr>
                <w:noProof/>
                <w:webHidden/>
              </w:rPr>
              <w:instrText xml:space="preserve"> PAGEREF _Toc3205889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90" w:history="1">
            <w:r w:rsidR="006F33AF" w:rsidRPr="0021736A">
              <w:rPr>
                <w:rStyle w:val="Hyperlink"/>
              </w:rPr>
              <w:t>2.2 Security Testing</w:t>
            </w:r>
            <w:r w:rsidR="006F33AF">
              <w:rPr>
                <w:noProof/>
                <w:webHidden/>
              </w:rPr>
              <w:tab/>
            </w:r>
            <w:r w:rsidR="006F33AF">
              <w:rPr>
                <w:noProof/>
                <w:webHidden/>
              </w:rPr>
              <w:fldChar w:fldCharType="begin"/>
            </w:r>
            <w:r w:rsidR="006F33AF">
              <w:rPr>
                <w:noProof/>
                <w:webHidden/>
              </w:rPr>
              <w:instrText xml:space="preserve"> PAGEREF _Toc3205890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1"/>
            <w:rPr>
              <w:rFonts w:eastAsiaTheme="minorEastAsia"/>
              <w:noProof/>
              <w:sz w:val="24"/>
              <w:szCs w:val="24"/>
            </w:rPr>
          </w:pPr>
          <w:hyperlink w:anchor="_Toc3205891" w:history="1">
            <w:r w:rsidR="006F33AF" w:rsidRPr="0021736A">
              <w:rPr>
                <w:rStyle w:val="Hyperlink"/>
              </w:rPr>
              <w:t>3. Operations Security</w:t>
            </w:r>
            <w:r w:rsidR="006F33AF">
              <w:rPr>
                <w:noProof/>
                <w:webHidden/>
              </w:rPr>
              <w:tab/>
            </w:r>
            <w:r w:rsidR="006F33AF">
              <w:rPr>
                <w:noProof/>
                <w:webHidden/>
              </w:rPr>
              <w:fldChar w:fldCharType="begin"/>
            </w:r>
            <w:r w:rsidR="006F33AF">
              <w:rPr>
                <w:noProof/>
                <w:webHidden/>
              </w:rPr>
              <w:instrText xml:space="preserve"> PAGEREF _Toc3205891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92" w:history="1">
            <w:r w:rsidR="006F33AF" w:rsidRPr="0021736A">
              <w:rPr>
                <w:rStyle w:val="Hyperlink"/>
              </w:rPr>
              <w:t>3.1 Physical Security</w:t>
            </w:r>
            <w:r w:rsidR="006F33AF">
              <w:rPr>
                <w:noProof/>
                <w:webHidden/>
              </w:rPr>
              <w:tab/>
            </w:r>
            <w:r w:rsidR="006F33AF">
              <w:rPr>
                <w:noProof/>
                <w:webHidden/>
              </w:rPr>
              <w:fldChar w:fldCharType="begin"/>
            </w:r>
            <w:r w:rsidR="006F33AF">
              <w:rPr>
                <w:noProof/>
                <w:webHidden/>
              </w:rPr>
              <w:instrText xml:space="preserve"> PAGEREF _Toc3205892 \h </w:instrText>
            </w:r>
            <w:r w:rsidR="006F33AF">
              <w:rPr>
                <w:noProof/>
                <w:webHidden/>
              </w:rPr>
            </w:r>
            <w:r w:rsidR="006F33AF">
              <w:rPr>
                <w:noProof/>
                <w:webHidden/>
              </w:rPr>
              <w:fldChar w:fldCharType="separate"/>
            </w:r>
            <w:r w:rsidR="006F33AF">
              <w:rPr>
                <w:noProof/>
                <w:webHidden/>
              </w:rPr>
              <w:t>4</w:t>
            </w:r>
            <w:r w:rsidR="006F33AF">
              <w:rPr>
                <w:noProof/>
                <w:webHidden/>
              </w:rPr>
              <w:fldChar w:fldCharType="end"/>
            </w:r>
          </w:hyperlink>
        </w:p>
        <w:p w:rsidR="006F33AF" w:rsidRDefault="00F93568">
          <w:pPr>
            <w:pStyle w:val="TOC2"/>
            <w:rPr>
              <w:rFonts w:eastAsiaTheme="minorEastAsia"/>
              <w:noProof/>
              <w:sz w:val="24"/>
              <w:szCs w:val="24"/>
            </w:rPr>
          </w:pPr>
          <w:hyperlink w:anchor="_Toc3205893" w:history="1">
            <w:r w:rsidR="006F33AF" w:rsidRPr="0021736A">
              <w:rPr>
                <w:rStyle w:val="Hyperlink"/>
              </w:rPr>
              <w:t>3.2 Logical Security</w:t>
            </w:r>
            <w:r w:rsidR="006F33AF">
              <w:rPr>
                <w:noProof/>
                <w:webHidden/>
              </w:rPr>
              <w:tab/>
            </w:r>
            <w:r w:rsidR="006F33AF">
              <w:rPr>
                <w:noProof/>
                <w:webHidden/>
              </w:rPr>
              <w:fldChar w:fldCharType="begin"/>
            </w:r>
            <w:r w:rsidR="006F33AF">
              <w:rPr>
                <w:noProof/>
                <w:webHidden/>
              </w:rPr>
              <w:instrText xml:space="preserve"> PAGEREF _Toc3205893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4" w:history="1">
            <w:r w:rsidR="006F33AF" w:rsidRPr="0021736A">
              <w:rPr>
                <w:rStyle w:val="Hyperlink"/>
              </w:rPr>
              <w:t>3.3 Transport Security</w:t>
            </w:r>
            <w:r w:rsidR="006F33AF">
              <w:rPr>
                <w:noProof/>
                <w:webHidden/>
              </w:rPr>
              <w:tab/>
            </w:r>
            <w:r w:rsidR="006F33AF">
              <w:rPr>
                <w:noProof/>
                <w:webHidden/>
              </w:rPr>
              <w:fldChar w:fldCharType="begin"/>
            </w:r>
            <w:r w:rsidR="006F33AF">
              <w:rPr>
                <w:noProof/>
                <w:webHidden/>
              </w:rPr>
              <w:instrText xml:space="preserve"> PAGEREF _Toc3205894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5" w:history="1">
            <w:r w:rsidR="006F33AF" w:rsidRPr="0021736A">
              <w:rPr>
                <w:rStyle w:val="Hyperlink"/>
              </w:rPr>
              <w:t>3.4 Data Privacy</w:t>
            </w:r>
            <w:r w:rsidR="006F33AF">
              <w:rPr>
                <w:noProof/>
                <w:webHidden/>
              </w:rPr>
              <w:tab/>
            </w:r>
            <w:r w:rsidR="006F33AF">
              <w:rPr>
                <w:noProof/>
                <w:webHidden/>
              </w:rPr>
              <w:fldChar w:fldCharType="begin"/>
            </w:r>
            <w:r w:rsidR="006F33AF">
              <w:rPr>
                <w:noProof/>
                <w:webHidden/>
              </w:rPr>
              <w:instrText xml:space="preserve"> PAGEREF _Toc3205895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6" w:history="1">
            <w:r w:rsidR="006F33AF" w:rsidRPr="0021736A">
              <w:rPr>
                <w:rStyle w:val="Hyperlink"/>
              </w:rPr>
              <w:t>3.4.1 Separate Tenant Databases</w:t>
            </w:r>
            <w:r w:rsidR="006F33AF">
              <w:rPr>
                <w:noProof/>
                <w:webHidden/>
              </w:rPr>
              <w:tab/>
            </w:r>
            <w:r w:rsidR="006F33AF">
              <w:rPr>
                <w:noProof/>
                <w:webHidden/>
              </w:rPr>
              <w:fldChar w:fldCharType="begin"/>
            </w:r>
            <w:r w:rsidR="006F33AF">
              <w:rPr>
                <w:noProof/>
                <w:webHidden/>
              </w:rPr>
              <w:instrText xml:space="preserve"> PAGEREF _Toc3205896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7" w:history="1">
            <w:r w:rsidR="006F33AF" w:rsidRPr="0021736A">
              <w:rPr>
                <w:rStyle w:val="Hyperlink"/>
              </w:rPr>
              <w:t>3.4.2 Data Access Controls and Auditing</w:t>
            </w:r>
            <w:r w:rsidR="006F33AF">
              <w:rPr>
                <w:noProof/>
                <w:webHidden/>
              </w:rPr>
              <w:tab/>
            </w:r>
            <w:r w:rsidR="006F33AF">
              <w:rPr>
                <w:noProof/>
                <w:webHidden/>
              </w:rPr>
              <w:fldChar w:fldCharType="begin"/>
            </w:r>
            <w:r w:rsidR="006F33AF">
              <w:rPr>
                <w:noProof/>
                <w:webHidden/>
              </w:rPr>
              <w:instrText xml:space="preserve"> PAGEREF _Toc3205897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8" w:history="1">
            <w:r w:rsidR="006F33AF" w:rsidRPr="0021736A">
              <w:rPr>
                <w:rStyle w:val="Hyperlink"/>
              </w:rPr>
              <w:t>3.4.3 Ivanti Cloud Storage Data and Privacy</w:t>
            </w:r>
            <w:r w:rsidR="006F33AF">
              <w:rPr>
                <w:noProof/>
                <w:webHidden/>
              </w:rPr>
              <w:tab/>
            </w:r>
            <w:r w:rsidR="006F33AF">
              <w:rPr>
                <w:noProof/>
                <w:webHidden/>
              </w:rPr>
              <w:fldChar w:fldCharType="begin"/>
            </w:r>
            <w:r w:rsidR="006F33AF">
              <w:rPr>
                <w:noProof/>
                <w:webHidden/>
              </w:rPr>
              <w:instrText xml:space="preserve"> PAGEREF _Toc3205898 \h </w:instrText>
            </w:r>
            <w:r w:rsidR="006F33AF">
              <w:rPr>
                <w:noProof/>
                <w:webHidden/>
              </w:rPr>
            </w:r>
            <w:r w:rsidR="006F33AF">
              <w:rPr>
                <w:noProof/>
                <w:webHidden/>
              </w:rPr>
              <w:fldChar w:fldCharType="separate"/>
            </w:r>
            <w:r w:rsidR="006F33AF">
              <w:rPr>
                <w:noProof/>
                <w:webHidden/>
              </w:rPr>
              <w:t>5</w:t>
            </w:r>
            <w:r w:rsidR="006F33AF">
              <w:rPr>
                <w:noProof/>
                <w:webHidden/>
              </w:rPr>
              <w:fldChar w:fldCharType="end"/>
            </w:r>
          </w:hyperlink>
        </w:p>
        <w:p w:rsidR="006F33AF" w:rsidRDefault="00F93568">
          <w:pPr>
            <w:pStyle w:val="TOC2"/>
            <w:rPr>
              <w:rFonts w:eastAsiaTheme="minorEastAsia"/>
              <w:noProof/>
              <w:sz w:val="24"/>
              <w:szCs w:val="24"/>
            </w:rPr>
          </w:pPr>
          <w:hyperlink w:anchor="_Toc3205899" w:history="1">
            <w:r w:rsidR="006F33AF" w:rsidRPr="0021736A">
              <w:rPr>
                <w:rStyle w:val="Hyperlink"/>
              </w:rPr>
              <w:t>3.5 Availability</w:t>
            </w:r>
            <w:r w:rsidR="006F33AF">
              <w:rPr>
                <w:noProof/>
                <w:webHidden/>
              </w:rPr>
              <w:tab/>
            </w:r>
            <w:r w:rsidR="006F33AF">
              <w:rPr>
                <w:noProof/>
                <w:webHidden/>
              </w:rPr>
              <w:fldChar w:fldCharType="begin"/>
            </w:r>
            <w:r w:rsidR="006F33AF">
              <w:rPr>
                <w:noProof/>
                <w:webHidden/>
              </w:rPr>
              <w:instrText xml:space="preserve"> PAGEREF _Toc3205899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2"/>
            <w:rPr>
              <w:rFonts w:eastAsiaTheme="minorEastAsia"/>
              <w:noProof/>
              <w:sz w:val="24"/>
              <w:szCs w:val="24"/>
            </w:rPr>
          </w:pPr>
          <w:hyperlink w:anchor="_Toc3205900" w:history="1">
            <w:r w:rsidR="006F33AF" w:rsidRPr="0021736A">
              <w:rPr>
                <w:rStyle w:val="Hyperlink"/>
              </w:rPr>
              <w:t>3.5.1 High-Availability Deployment</w:t>
            </w:r>
            <w:r w:rsidR="006F33AF">
              <w:rPr>
                <w:noProof/>
                <w:webHidden/>
              </w:rPr>
              <w:tab/>
            </w:r>
            <w:r w:rsidR="006F33AF">
              <w:rPr>
                <w:noProof/>
                <w:webHidden/>
              </w:rPr>
              <w:fldChar w:fldCharType="begin"/>
            </w:r>
            <w:r w:rsidR="006F33AF">
              <w:rPr>
                <w:noProof/>
                <w:webHidden/>
              </w:rPr>
              <w:instrText xml:space="preserve"> PAGEREF _Toc3205900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2"/>
            <w:rPr>
              <w:rFonts w:eastAsiaTheme="minorEastAsia"/>
              <w:noProof/>
              <w:sz w:val="24"/>
              <w:szCs w:val="24"/>
            </w:rPr>
          </w:pPr>
          <w:hyperlink w:anchor="_Toc3205901" w:history="1">
            <w:r w:rsidR="006F33AF" w:rsidRPr="0021736A">
              <w:rPr>
                <w:rStyle w:val="Hyperlink"/>
              </w:rPr>
              <w:t>3.5.2 Disaster Recovery</w:t>
            </w:r>
            <w:r w:rsidR="006F33AF">
              <w:rPr>
                <w:noProof/>
                <w:webHidden/>
              </w:rPr>
              <w:tab/>
            </w:r>
            <w:r w:rsidR="006F33AF">
              <w:rPr>
                <w:noProof/>
                <w:webHidden/>
              </w:rPr>
              <w:fldChar w:fldCharType="begin"/>
            </w:r>
            <w:r w:rsidR="006F33AF">
              <w:rPr>
                <w:noProof/>
                <w:webHidden/>
              </w:rPr>
              <w:instrText xml:space="preserve"> PAGEREF _Toc3205901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2"/>
            <w:rPr>
              <w:rFonts w:eastAsiaTheme="minorEastAsia"/>
              <w:noProof/>
              <w:sz w:val="24"/>
              <w:szCs w:val="24"/>
            </w:rPr>
          </w:pPr>
          <w:hyperlink w:anchor="_Toc3205902" w:history="1">
            <w:r w:rsidR="006F33AF" w:rsidRPr="0021736A">
              <w:rPr>
                <w:rStyle w:val="Hyperlink"/>
              </w:rPr>
              <w:t>3.6 24X7 Network Operations Center (NOC) and Security Operations Center (SOC)</w:t>
            </w:r>
            <w:r w:rsidR="006F33AF">
              <w:rPr>
                <w:noProof/>
                <w:webHidden/>
              </w:rPr>
              <w:tab/>
            </w:r>
            <w:r w:rsidR="006F33AF">
              <w:rPr>
                <w:noProof/>
                <w:webHidden/>
              </w:rPr>
              <w:fldChar w:fldCharType="begin"/>
            </w:r>
            <w:r w:rsidR="006F33AF">
              <w:rPr>
                <w:noProof/>
                <w:webHidden/>
              </w:rPr>
              <w:instrText xml:space="preserve"> PAGEREF _Toc3205902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1"/>
            <w:rPr>
              <w:rFonts w:eastAsiaTheme="minorEastAsia"/>
              <w:noProof/>
              <w:sz w:val="24"/>
              <w:szCs w:val="24"/>
            </w:rPr>
          </w:pPr>
          <w:hyperlink w:anchor="_Toc3205903" w:history="1">
            <w:r w:rsidR="006F33AF" w:rsidRPr="0021736A">
              <w:rPr>
                <w:rStyle w:val="Hyperlink"/>
              </w:rPr>
              <w:t>4. Cloud Premise Synchronization</w:t>
            </w:r>
            <w:r w:rsidR="006F33AF">
              <w:rPr>
                <w:noProof/>
                <w:webHidden/>
              </w:rPr>
              <w:tab/>
            </w:r>
            <w:r w:rsidR="006F33AF">
              <w:rPr>
                <w:noProof/>
                <w:webHidden/>
              </w:rPr>
              <w:fldChar w:fldCharType="begin"/>
            </w:r>
            <w:r w:rsidR="006F33AF">
              <w:rPr>
                <w:noProof/>
                <w:webHidden/>
              </w:rPr>
              <w:instrText xml:space="preserve"> PAGEREF _Toc3205903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2"/>
            <w:rPr>
              <w:rFonts w:eastAsiaTheme="minorEastAsia"/>
              <w:noProof/>
              <w:sz w:val="24"/>
              <w:szCs w:val="24"/>
            </w:rPr>
          </w:pPr>
          <w:hyperlink w:anchor="_Toc3205904" w:history="1">
            <w:r w:rsidR="006F33AF" w:rsidRPr="0021736A">
              <w:rPr>
                <w:rStyle w:val="Hyperlink"/>
              </w:rPr>
              <w:t>4.1 Configuration and Set Up On the EPM Core</w:t>
            </w:r>
            <w:r w:rsidR="006F33AF">
              <w:rPr>
                <w:noProof/>
                <w:webHidden/>
              </w:rPr>
              <w:tab/>
            </w:r>
            <w:r w:rsidR="006F33AF">
              <w:rPr>
                <w:noProof/>
                <w:webHidden/>
              </w:rPr>
              <w:fldChar w:fldCharType="begin"/>
            </w:r>
            <w:r w:rsidR="006F33AF">
              <w:rPr>
                <w:noProof/>
                <w:webHidden/>
              </w:rPr>
              <w:instrText xml:space="preserve"> PAGEREF _Toc3205904 \h </w:instrText>
            </w:r>
            <w:r w:rsidR="006F33AF">
              <w:rPr>
                <w:noProof/>
                <w:webHidden/>
              </w:rPr>
            </w:r>
            <w:r w:rsidR="006F33AF">
              <w:rPr>
                <w:noProof/>
                <w:webHidden/>
              </w:rPr>
              <w:fldChar w:fldCharType="separate"/>
            </w:r>
            <w:r w:rsidR="006F33AF">
              <w:rPr>
                <w:noProof/>
                <w:webHidden/>
              </w:rPr>
              <w:t>6</w:t>
            </w:r>
            <w:r w:rsidR="006F33AF">
              <w:rPr>
                <w:noProof/>
                <w:webHidden/>
              </w:rPr>
              <w:fldChar w:fldCharType="end"/>
            </w:r>
          </w:hyperlink>
        </w:p>
        <w:p w:rsidR="006F33AF" w:rsidRDefault="00F93568">
          <w:pPr>
            <w:pStyle w:val="TOC2"/>
            <w:rPr>
              <w:rFonts w:eastAsiaTheme="minorEastAsia"/>
              <w:noProof/>
              <w:sz w:val="24"/>
              <w:szCs w:val="24"/>
            </w:rPr>
          </w:pPr>
          <w:hyperlink w:anchor="_Toc3205905" w:history="1">
            <w:r w:rsidR="006F33AF" w:rsidRPr="0021736A">
              <w:rPr>
                <w:rStyle w:val="Hyperlink"/>
              </w:rPr>
              <w:t>4.2 Ivanti Cloud Agent Communication with EPM Core</w:t>
            </w:r>
            <w:r w:rsidR="006F33AF">
              <w:rPr>
                <w:noProof/>
                <w:webHidden/>
              </w:rPr>
              <w:tab/>
            </w:r>
            <w:r w:rsidR="006F33AF">
              <w:rPr>
                <w:noProof/>
                <w:webHidden/>
              </w:rPr>
              <w:fldChar w:fldCharType="begin"/>
            </w:r>
            <w:r w:rsidR="006F33AF">
              <w:rPr>
                <w:noProof/>
                <w:webHidden/>
              </w:rPr>
              <w:instrText xml:space="preserve"> PAGEREF _Toc3205905 \h </w:instrText>
            </w:r>
            <w:r w:rsidR="006F33AF">
              <w:rPr>
                <w:noProof/>
                <w:webHidden/>
              </w:rPr>
            </w:r>
            <w:r w:rsidR="006F33AF">
              <w:rPr>
                <w:noProof/>
                <w:webHidden/>
              </w:rPr>
              <w:fldChar w:fldCharType="separate"/>
            </w:r>
            <w:r w:rsidR="006F33AF">
              <w:rPr>
                <w:noProof/>
                <w:webHidden/>
              </w:rPr>
              <w:t>7</w:t>
            </w:r>
            <w:r w:rsidR="006F33AF">
              <w:rPr>
                <w:noProof/>
                <w:webHidden/>
              </w:rPr>
              <w:fldChar w:fldCharType="end"/>
            </w:r>
          </w:hyperlink>
        </w:p>
        <w:p w:rsidR="006F33AF" w:rsidRDefault="00F93568">
          <w:pPr>
            <w:pStyle w:val="TOC2"/>
            <w:rPr>
              <w:rFonts w:eastAsiaTheme="minorEastAsia"/>
              <w:noProof/>
              <w:sz w:val="24"/>
              <w:szCs w:val="24"/>
            </w:rPr>
          </w:pPr>
          <w:hyperlink w:anchor="_Toc3205906" w:history="1">
            <w:r w:rsidR="006F33AF" w:rsidRPr="0021736A">
              <w:rPr>
                <w:rStyle w:val="Hyperlink"/>
              </w:rPr>
              <w:t>4.3 Ivanti Cloud Data Importing</w:t>
            </w:r>
            <w:r w:rsidR="006F33AF">
              <w:rPr>
                <w:noProof/>
                <w:webHidden/>
              </w:rPr>
              <w:tab/>
            </w:r>
            <w:r w:rsidR="006F33AF">
              <w:rPr>
                <w:noProof/>
                <w:webHidden/>
              </w:rPr>
              <w:fldChar w:fldCharType="begin"/>
            </w:r>
            <w:r w:rsidR="006F33AF">
              <w:rPr>
                <w:noProof/>
                <w:webHidden/>
              </w:rPr>
              <w:instrText xml:space="preserve"> PAGEREF _Toc3205906 \h </w:instrText>
            </w:r>
            <w:r w:rsidR="006F33AF">
              <w:rPr>
                <w:noProof/>
                <w:webHidden/>
              </w:rPr>
            </w:r>
            <w:r w:rsidR="006F33AF">
              <w:rPr>
                <w:noProof/>
                <w:webHidden/>
              </w:rPr>
              <w:fldChar w:fldCharType="separate"/>
            </w:r>
            <w:r w:rsidR="006F33AF">
              <w:rPr>
                <w:noProof/>
                <w:webHidden/>
              </w:rPr>
              <w:t>7</w:t>
            </w:r>
            <w:r w:rsidR="006F33AF">
              <w:rPr>
                <w:noProof/>
                <w:webHidden/>
              </w:rPr>
              <w:fldChar w:fldCharType="end"/>
            </w:r>
          </w:hyperlink>
        </w:p>
        <w:p w:rsidR="006F33AF" w:rsidRDefault="00F93568">
          <w:pPr>
            <w:pStyle w:val="TOC1"/>
            <w:rPr>
              <w:rFonts w:eastAsiaTheme="minorEastAsia"/>
              <w:noProof/>
              <w:sz w:val="24"/>
              <w:szCs w:val="24"/>
            </w:rPr>
          </w:pPr>
          <w:hyperlink w:anchor="_Toc3205907" w:history="1">
            <w:r w:rsidR="006F33AF" w:rsidRPr="0021736A">
              <w:rPr>
                <w:rStyle w:val="Hyperlink"/>
              </w:rPr>
              <w:t>5. Conclusion</w:t>
            </w:r>
            <w:r w:rsidR="006F33AF">
              <w:rPr>
                <w:noProof/>
                <w:webHidden/>
              </w:rPr>
              <w:tab/>
            </w:r>
            <w:r w:rsidR="006F33AF">
              <w:rPr>
                <w:noProof/>
                <w:webHidden/>
              </w:rPr>
              <w:fldChar w:fldCharType="begin"/>
            </w:r>
            <w:r w:rsidR="006F33AF">
              <w:rPr>
                <w:noProof/>
                <w:webHidden/>
              </w:rPr>
              <w:instrText xml:space="preserve"> PAGEREF _Toc3205907 \h </w:instrText>
            </w:r>
            <w:r w:rsidR="006F33AF">
              <w:rPr>
                <w:noProof/>
                <w:webHidden/>
              </w:rPr>
            </w:r>
            <w:r w:rsidR="006F33AF">
              <w:rPr>
                <w:noProof/>
                <w:webHidden/>
              </w:rPr>
              <w:fldChar w:fldCharType="separate"/>
            </w:r>
            <w:r w:rsidR="006F33AF">
              <w:rPr>
                <w:noProof/>
                <w:webHidden/>
              </w:rPr>
              <w:t>7</w:t>
            </w:r>
            <w:r w:rsidR="006F33AF">
              <w:rPr>
                <w:noProof/>
                <w:webHidden/>
              </w:rPr>
              <w:fldChar w:fldCharType="end"/>
            </w:r>
          </w:hyperlink>
        </w:p>
        <w:p w:rsidR="00D55404" w:rsidRPr="00974ECB" w:rsidRDefault="00B86CD5" w:rsidP="00B86CD5">
          <w:pPr>
            <w:pStyle w:val="TOC1"/>
            <w:rPr>
              <w:color w:val="55565A"/>
            </w:rPr>
          </w:pPr>
          <w:r>
            <w:fldChar w:fldCharType="end"/>
          </w:r>
        </w:p>
      </w:sdtContent>
    </w:sdt>
    <w:p w:rsidR="006F33AF" w:rsidRDefault="006F33AF" w:rsidP="006F33AF">
      <w:pPr>
        <w:spacing w:after="120" w:line="240" w:lineRule="auto"/>
        <w:ind w:left="634" w:right="1622"/>
        <w:rPr>
          <w:color w:val="55565A"/>
          <w:sz w:val="13"/>
        </w:rPr>
      </w:pPr>
    </w:p>
    <w:p w:rsidR="00D44261" w:rsidRDefault="00D44261" w:rsidP="006F33AF">
      <w:pPr>
        <w:spacing w:after="120" w:line="240" w:lineRule="auto"/>
        <w:ind w:left="634" w:right="1622"/>
        <w:rPr>
          <w:sz w:val="13"/>
        </w:rPr>
      </w:pPr>
      <w:r>
        <w:rPr>
          <w:color w:val="55565A"/>
          <w:sz w:val="13"/>
        </w:rPr>
        <w:t>This docume</w:t>
      </w:r>
      <w:r w:rsidR="00CF0CCC">
        <w:rPr>
          <w:color w:val="55565A"/>
          <w:sz w:val="13"/>
        </w:rPr>
        <w:t>`</w:t>
      </w:r>
      <w:r>
        <w:rPr>
          <w:color w:val="55565A"/>
          <w:sz w:val="13"/>
        </w:rPr>
        <w:t>nt is provided strictly as a guide. No guarantees can be provided or expected. This document contains the confidential information and/or proprietary property of Ivanti, Inc. and its affiliates (referred to collectively as “Ivanti”</w:t>
      </w:r>
      <w:proofErr w:type="gramStart"/>
      <w:r>
        <w:rPr>
          <w:color w:val="55565A"/>
          <w:sz w:val="13"/>
        </w:rPr>
        <w:t>), and</w:t>
      </w:r>
      <w:proofErr w:type="gramEnd"/>
      <w:r>
        <w:rPr>
          <w:color w:val="55565A"/>
          <w:sz w:val="13"/>
        </w:rPr>
        <w:t xml:space="preserve"> may not be disclosed or copied without prior written consent of Ivanti.</w:t>
      </w:r>
    </w:p>
    <w:p w:rsidR="00D44261" w:rsidRDefault="00D44261" w:rsidP="006F33AF">
      <w:pPr>
        <w:spacing w:before="119" w:after="120" w:line="240" w:lineRule="auto"/>
        <w:ind w:left="634" w:right="1637"/>
        <w:rPr>
          <w:sz w:val="13"/>
        </w:rPr>
      </w:pPr>
      <w:r>
        <w:rPr>
          <w:color w:val="55565A"/>
          <w:sz w:val="13"/>
        </w:rPr>
        <w:t xml:space="preserve">Ivanti retains the right to make changes to this document or related product specifications and descriptions, at any time, without notice. Ivanti makes no warranty for the use of this document and assumes no responsibility for any errors that can appear in the document nor does it make a commitment to update the information contained herein. For the most current product information, please visit </w:t>
      </w:r>
      <w:hyperlink r:id="rId9">
        <w:r>
          <w:rPr>
            <w:color w:val="55565A"/>
            <w:sz w:val="13"/>
          </w:rPr>
          <w:t>www.Ivanti.com.</w:t>
        </w:r>
      </w:hyperlink>
    </w:p>
    <w:p w:rsidR="00D44261" w:rsidRPr="00535827" w:rsidRDefault="00D44261" w:rsidP="00D44261">
      <w:pPr>
        <w:pStyle w:val="Disclaimer"/>
        <w:ind w:left="630" w:right="450"/>
      </w:pPr>
      <w:r>
        <w:t xml:space="preserve">Copyright © 2019, Ivanti. All rights reserved. </w:t>
      </w:r>
      <w:r w:rsidR="00F126CF">
        <w:t xml:space="preserve"> </w:t>
      </w:r>
      <w:r>
        <w:t>IVI-</w:t>
      </w:r>
      <w:proofErr w:type="gramStart"/>
      <w:r>
        <w:t xml:space="preserve">2010 </w:t>
      </w:r>
      <w:r w:rsidR="00F126CF">
        <w:t xml:space="preserve"> </w:t>
      </w:r>
      <w:r>
        <w:t>0</w:t>
      </w:r>
      <w:r w:rsidR="00F126CF">
        <w:t>3</w:t>
      </w:r>
      <w:proofErr w:type="gramEnd"/>
      <w:r>
        <w:t>/1</w:t>
      </w:r>
      <w:r w:rsidR="00F126CF">
        <w:t>9</w:t>
      </w:r>
      <w:r>
        <w:t xml:space="preserve"> </w:t>
      </w:r>
      <w:r w:rsidR="00F126CF">
        <w:t xml:space="preserve"> MK/AB</w:t>
      </w:r>
      <w:r>
        <w:t>/DL</w:t>
      </w:r>
    </w:p>
    <w:p w:rsidR="00D44261" w:rsidRDefault="00D44261" w:rsidP="007E30E4">
      <w:pPr>
        <w:sectPr w:rsidR="00D44261" w:rsidSect="00175555">
          <w:headerReference w:type="default" r:id="rId10"/>
          <w:footerReference w:type="default" r:id="rId11"/>
          <w:headerReference w:type="first" r:id="rId12"/>
          <w:footerReference w:type="first" r:id="rId13"/>
          <w:pgSz w:w="12240" w:h="15840"/>
          <w:pgMar w:top="1656" w:right="1080" w:bottom="1656" w:left="1080" w:header="936" w:footer="720" w:gutter="0"/>
          <w:cols w:space="720"/>
          <w:titlePg/>
          <w:docGrid w:linePitch="360"/>
        </w:sectPr>
      </w:pPr>
    </w:p>
    <w:p w:rsidR="00D44261" w:rsidRPr="00D44261" w:rsidRDefault="00D44261" w:rsidP="00D44261">
      <w:pPr>
        <w:pStyle w:val="Heading1"/>
      </w:pPr>
      <w:bookmarkStart w:id="1" w:name="_Toc3205882"/>
      <w:r w:rsidRPr="00D44261">
        <w:lastRenderedPageBreak/>
        <w:t>Welcome to Ivanti Cloud</w:t>
      </w:r>
      <w:bookmarkEnd w:id="1"/>
      <w:r w:rsidRPr="00D44261">
        <w:t xml:space="preserve"> </w:t>
      </w:r>
    </w:p>
    <w:p w:rsidR="00D44261" w:rsidRPr="00D44261" w:rsidRDefault="00D44261" w:rsidP="00D44261">
      <w:pPr>
        <w:pStyle w:val="BodyText"/>
      </w:pPr>
      <w:r w:rsidRPr="00D44261">
        <w:t xml:space="preserve">Ivanti Cloud is the embodiment of our mission to Unify IT, and our customers who utilize this tool enjoy the convenient and secure gateway that it provides to all Ivanti products. Service management, </w:t>
      </w:r>
      <w:proofErr w:type="gramStart"/>
      <w:r w:rsidRPr="00D44261">
        <w:t>end point</w:t>
      </w:r>
      <w:proofErr w:type="gramEnd"/>
      <w:r w:rsidRPr="00D44261">
        <w:t xml:space="preserve"> management, security, identity and automation tools are securely and intelligently accessible by our satisfied customers that utilize Ivanti Cloud. </w:t>
      </w:r>
    </w:p>
    <w:p w:rsidR="00D44261" w:rsidRPr="00D44261" w:rsidRDefault="00D44261" w:rsidP="00D44261">
      <w:pPr>
        <w:pStyle w:val="Heading1"/>
      </w:pPr>
      <w:bookmarkStart w:id="2" w:name="_Toc3205883"/>
      <w:r w:rsidRPr="00D44261">
        <w:t>Executive Summary</w:t>
      </w:r>
      <w:bookmarkEnd w:id="2"/>
    </w:p>
    <w:p w:rsidR="00D44261" w:rsidRPr="00D44261" w:rsidRDefault="00D44261" w:rsidP="00D44261">
      <w:pPr>
        <w:pStyle w:val="BodyText"/>
      </w:pPr>
      <w:r w:rsidRPr="00D44261">
        <w:t>Security is one of the most important considerations when choosing your cloud partner. We, on the Ivanti Cloud team take our security and data privacy obligations very seriously, and we implement best-in-class security and hosting practices.</w:t>
      </w:r>
    </w:p>
    <w:p w:rsidR="00D44261" w:rsidRPr="00D44261" w:rsidRDefault="00D44261" w:rsidP="00D44261">
      <w:pPr>
        <w:pStyle w:val="BodyText"/>
      </w:pPr>
      <w:r w:rsidRPr="00D44261">
        <w:t xml:space="preserve">Today’s global, mobile workforce requires services that are always available and ubiquitous. This requires a high level of availability and vigilant industry security practices. At Ivanti, security and data protection </w:t>
      </w:r>
      <w:proofErr w:type="gramStart"/>
      <w:r w:rsidRPr="00D44261">
        <w:t>starts</w:t>
      </w:r>
      <w:proofErr w:type="gramEnd"/>
      <w:r w:rsidRPr="00D44261">
        <w:t xml:space="preserve"> at product inception and continues through a “security by design” model that includes security considerations in all phases of the product—from design, implementation, and continuing through operations. </w:t>
      </w:r>
    </w:p>
    <w:p w:rsidR="00D44261" w:rsidRPr="00D44261" w:rsidRDefault="00D44261" w:rsidP="00D44261">
      <w:pPr>
        <w:pStyle w:val="BodyText"/>
      </w:pPr>
      <w:r w:rsidRPr="00D44261">
        <w:t>This paper highlights Ivanti’s approach to a comprehensive security model that encompasses the people, the organization, development, and operations.</w:t>
      </w:r>
    </w:p>
    <w:p w:rsidR="00D44261" w:rsidRPr="00D44261" w:rsidRDefault="00D44261" w:rsidP="00D44261">
      <w:pPr>
        <w:pStyle w:val="Heading1"/>
      </w:pPr>
      <w:bookmarkStart w:id="3" w:name="_TOC_250021"/>
      <w:bookmarkStart w:id="4" w:name="_Toc3205884"/>
      <w:r>
        <w:t xml:space="preserve">1. </w:t>
      </w:r>
      <w:r w:rsidRPr="00D44261">
        <w:t xml:space="preserve">Security Organization and </w:t>
      </w:r>
      <w:bookmarkEnd w:id="3"/>
      <w:r w:rsidRPr="00D44261">
        <w:t>Culture</w:t>
      </w:r>
      <w:bookmarkEnd w:id="4"/>
    </w:p>
    <w:p w:rsidR="00D44261" w:rsidRPr="00D44261" w:rsidRDefault="00D44261" w:rsidP="00D44261">
      <w:pPr>
        <w:pStyle w:val="Heading2"/>
      </w:pPr>
      <w:bookmarkStart w:id="5" w:name="_TOC_250020"/>
      <w:bookmarkStart w:id="6" w:name="_Toc3205885"/>
      <w:r>
        <w:t xml:space="preserve">1.1 </w:t>
      </w:r>
      <w:r w:rsidRPr="00D44261">
        <w:t xml:space="preserve">Security </w:t>
      </w:r>
      <w:bookmarkEnd w:id="5"/>
      <w:r w:rsidRPr="00D44261">
        <w:t>Organization</w:t>
      </w:r>
      <w:bookmarkEnd w:id="6"/>
    </w:p>
    <w:p w:rsidR="00D44261" w:rsidRPr="00D44261" w:rsidRDefault="00D44261" w:rsidP="00D44261">
      <w:pPr>
        <w:pStyle w:val="BodyText"/>
      </w:pPr>
      <w:r w:rsidRPr="00D44261">
        <w:t>Multiple layers of security are set in place within the Ivanti organization. Ivanti’s Corporate Security Council (CISO) and cloud security office are responsible for overall security communication, implementation, and response reporting to executive management. On our cloud security team, part of the overall security umbrella organization has a specialized focus on implementing and maintaining security best practices within the cloud services provided. In our engineering organization, our separate architecture team provides independent, secure design reviews.</w:t>
      </w:r>
    </w:p>
    <w:p w:rsidR="00D44261" w:rsidRPr="00D44261" w:rsidRDefault="00D44261" w:rsidP="00D44261">
      <w:pPr>
        <w:pStyle w:val="Heading2"/>
      </w:pPr>
      <w:bookmarkStart w:id="7" w:name="_TOC_250019"/>
      <w:bookmarkStart w:id="8" w:name="_Toc3205886"/>
      <w:r>
        <w:t xml:space="preserve">1.2 </w:t>
      </w:r>
      <w:r w:rsidRPr="00D44261">
        <w:t xml:space="preserve">Background </w:t>
      </w:r>
      <w:bookmarkEnd w:id="7"/>
      <w:r w:rsidRPr="00D44261">
        <w:t>Checks</w:t>
      </w:r>
      <w:bookmarkEnd w:id="8"/>
    </w:p>
    <w:p w:rsidR="00D44261" w:rsidRPr="00D44261" w:rsidRDefault="00D44261" w:rsidP="00D44261">
      <w:pPr>
        <w:pStyle w:val="BodyText"/>
      </w:pPr>
      <w:r w:rsidRPr="00D44261">
        <w:t>All Ivanti employees in the United States go through industry-standard background checks upon hiring to verify education, previous employment, and references.</w:t>
      </w:r>
    </w:p>
    <w:p w:rsidR="00D44261" w:rsidRPr="00D44261" w:rsidRDefault="00D44261" w:rsidP="00D44261">
      <w:pPr>
        <w:pStyle w:val="Heading2"/>
      </w:pPr>
      <w:bookmarkStart w:id="9" w:name="_TOC_250018"/>
      <w:bookmarkStart w:id="10" w:name="_Toc3205887"/>
      <w:bookmarkEnd w:id="9"/>
      <w:r>
        <w:t xml:space="preserve">1.3 </w:t>
      </w:r>
      <w:r w:rsidRPr="00D44261">
        <w:t>Security Training</w:t>
      </w:r>
      <w:bookmarkEnd w:id="10"/>
    </w:p>
    <w:p w:rsidR="00D44261" w:rsidRPr="00D44261" w:rsidRDefault="00D44261" w:rsidP="00D44261">
      <w:pPr>
        <w:pStyle w:val="BodyText"/>
      </w:pPr>
      <w:r w:rsidRPr="00D44261">
        <w:t xml:space="preserve">As part of our ongoing security awareness training, all employees are required to complete security training upon hire. </w:t>
      </w:r>
      <w:proofErr w:type="gramStart"/>
      <w:r w:rsidRPr="00D44261">
        <w:t>Subsequent to</w:t>
      </w:r>
      <w:proofErr w:type="gramEnd"/>
      <w:r w:rsidRPr="00D44261">
        <w:t xml:space="preserve"> hire, we regularly train all staff members with anti-phishing campaigns, annual acceptable use attestation, and Open Web Application Security Project </w:t>
      </w:r>
      <w:r w:rsidRPr="00D44261">
        <w:t>(OWASP) Top 10 training for development. We also provide role-specific security training modules to employees.</w:t>
      </w:r>
    </w:p>
    <w:p w:rsidR="00D44261" w:rsidRPr="00D44261" w:rsidRDefault="00D44261" w:rsidP="00D44261">
      <w:pPr>
        <w:pStyle w:val="Heading1"/>
      </w:pPr>
      <w:bookmarkStart w:id="11" w:name="_TOC_250017"/>
      <w:bookmarkStart w:id="12" w:name="_Toc3205888"/>
      <w:r>
        <w:t xml:space="preserve">2. </w:t>
      </w:r>
      <w:r w:rsidRPr="00D44261">
        <w:t xml:space="preserve">Cloud Development </w:t>
      </w:r>
      <w:bookmarkEnd w:id="11"/>
      <w:r w:rsidRPr="00D44261">
        <w:t>Security</w:t>
      </w:r>
      <w:bookmarkEnd w:id="12"/>
    </w:p>
    <w:p w:rsidR="00D44261" w:rsidRPr="00D44261" w:rsidRDefault="00D44261" w:rsidP="00D44261">
      <w:pPr>
        <w:pStyle w:val="Heading2"/>
      </w:pPr>
      <w:bookmarkStart w:id="13" w:name="_TOC_250016"/>
      <w:bookmarkStart w:id="14" w:name="_Toc3205889"/>
      <w:r>
        <w:t xml:space="preserve">2.1 </w:t>
      </w:r>
      <w:r w:rsidRPr="00D44261">
        <w:t xml:space="preserve">Design </w:t>
      </w:r>
      <w:bookmarkEnd w:id="13"/>
      <w:r w:rsidRPr="00D44261">
        <w:t>Reviews</w:t>
      </w:r>
      <w:bookmarkEnd w:id="14"/>
    </w:p>
    <w:p w:rsidR="00D44261" w:rsidRPr="00D44261" w:rsidRDefault="00D44261" w:rsidP="00D44261">
      <w:pPr>
        <w:pStyle w:val="BodyText"/>
      </w:pPr>
      <w:r w:rsidRPr="00D44261">
        <w:t>Prior to and during implementation, architects trained in security best practices review designs to ensure developers adhere to security decisions on implementation. Ivanti follows best-practice models for our software development lifecycle. This process includes security training for our architects, developers, QA, and our support staff.</w:t>
      </w:r>
    </w:p>
    <w:p w:rsidR="00D44261" w:rsidRPr="00D44261" w:rsidRDefault="00D44261" w:rsidP="00D44261">
      <w:pPr>
        <w:pStyle w:val="Heading2"/>
      </w:pPr>
      <w:bookmarkStart w:id="15" w:name="_TOC_250015"/>
      <w:bookmarkStart w:id="16" w:name="_Toc3205890"/>
      <w:bookmarkEnd w:id="15"/>
      <w:r>
        <w:t xml:space="preserve">2.2 </w:t>
      </w:r>
      <w:r w:rsidRPr="00D44261">
        <w:t>Security Testing</w:t>
      </w:r>
      <w:bookmarkEnd w:id="16"/>
    </w:p>
    <w:p w:rsidR="00D44261" w:rsidRPr="00D44261" w:rsidRDefault="00D44261" w:rsidP="00D44261">
      <w:pPr>
        <w:pStyle w:val="BodyText"/>
      </w:pPr>
      <w:r w:rsidRPr="00D44261">
        <w:t>Security testing is part of the development cycle with use of security scanners to identify vulnerabilities throughout the cycle. We use industry-leading, third-party tools to test and validate secure implementation as well as reduce flaws. We closely monitor, respond to, and resolve potential security issues as defined by our Computer Security Incident Response Plan (CSIRP). We employ a multi-tiered approach to ensure a comprehensive and secure development process.</w:t>
      </w:r>
    </w:p>
    <w:p w:rsidR="00D44261" w:rsidRPr="00D44261" w:rsidRDefault="00D44261" w:rsidP="00D44261">
      <w:pPr>
        <w:pStyle w:val="Heading1"/>
      </w:pPr>
      <w:bookmarkStart w:id="17" w:name="_TOC_250014"/>
      <w:bookmarkStart w:id="18" w:name="_Toc3205891"/>
      <w:r>
        <w:t xml:space="preserve">3. </w:t>
      </w:r>
      <w:r w:rsidRPr="00D44261">
        <w:t xml:space="preserve">Operations </w:t>
      </w:r>
      <w:bookmarkEnd w:id="17"/>
      <w:r w:rsidRPr="00D44261">
        <w:t>Security</w:t>
      </w:r>
      <w:bookmarkEnd w:id="18"/>
    </w:p>
    <w:p w:rsidR="00D44261" w:rsidRPr="00D44261" w:rsidRDefault="00D44261" w:rsidP="00D44261">
      <w:pPr>
        <w:pStyle w:val="Heading2"/>
      </w:pPr>
      <w:bookmarkStart w:id="19" w:name="_TOC_250013"/>
      <w:bookmarkStart w:id="20" w:name="_Toc3205892"/>
      <w:r>
        <w:t xml:space="preserve">3.1 </w:t>
      </w:r>
      <w:r w:rsidRPr="00D44261">
        <w:t xml:space="preserve">Physical </w:t>
      </w:r>
      <w:bookmarkEnd w:id="19"/>
      <w:r w:rsidRPr="00D44261">
        <w:t>Security</w:t>
      </w:r>
      <w:bookmarkEnd w:id="20"/>
    </w:p>
    <w:p w:rsidR="00D44261" w:rsidRPr="00D44261" w:rsidRDefault="00D44261" w:rsidP="00D44261">
      <w:pPr>
        <w:pStyle w:val="BodyText"/>
      </w:pPr>
      <w:r w:rsidRPr="00D44261">
        <w:t xml:space="preserve">Ivanti leverages the security provided by our hosting providers, and additionally provides physical security access to its own sites.  This includes a secure environment with established security controls to prevent, detect, and respond to vulnerabilities and data breaches. We also comply with local and state, federal and international regulations regarding security, privacy and data handling, and use facilities that are ISO and SOC-compliant. Enhancing our geographical dispersion and redundancy is a key focus of the Ivanti Cloud Team in 2019. </w:t>
      </w:r>
    </w:p>
    <w:p w:rsidR="00D44261" w:rsidRPr="00D44261" w:rsidRDefault="00D44261" w:rsidP="00D44261">
      <w:pPr>
        <w:pStyle w:val="Heading2"/>
      </w:pPr>
      <w:bookmarkStart w:id="21" w:name="_TOC_250012"/>
      <w:bookmarkStart w:id="22" w:name="_Toc3205893"/>
      <w:r>
        <w:t xml:space="preserve">3.2 </w:t>
      </w:r>
      <w:r w:rsidRPr="00D44261">
        <w:t xml:space="preserve">Logical </w:t>
      </w:r>
      <w:bookmarkEnd w:id="21"/>
      <w:r w:rsidRPr="00D44261">
        <w:t>Security</w:t>
      </w:r>
      <w:bookmarkEnd w:id="22"/>
    </w:p>
    <w:p w:rsidR="00D44261" w:rsidRPr="00D44261" w:rsidRDefault="00D44261" w:rsidP="00D44261">
      <w:pPr>
        <w:pStyle w:val="BodyText"/>
      </w:pPr>
      <w:r w:rsidRPr="00D44261">
        <w:t>Ivanti employs the industry-wide best practice Defense-in-Depth strategies, placing multiple layers of defense throughout the cloud environment. We rely on security appliances from multiple vendors, at multiple layers of the OSI model.</w:t>
      </w:r>
    </w:p>
    <w:p w:rsidR="00D44261" w:rsidRPr="00D44261" w:rsidRDefault="00D44261" w:rsidP="00D44261">
      <w:pPr>
        <w:pStyle w:val="BodyText"/>
      </w:pPr>
      <w:r w:rsidRPr="00D44261">
        <w:t>ISC2 CISSP-certified engineers actively monitor and manage security incidents in cloud security infrastructure. The engineers are available to address any kind of security issue for the cloud datacenter. We have a 24x7x365 Security Operations Center that monitors and responds to SIEM alerts.</w:t>
      </w:r>
    </w:p>
    <w:p w:rsidR="00D44261" w:rsidRPr="00D44261" w:rsidRDefault="00D44261" w:rsidP="00D44261">
      <w:pPr>
        <w:pStyle w:val="Heading2"/>
      </w:pPr>
      <w:bookmarkStart w:id="23" w:name="_TOC_250011"/>
      <w:bookmarkStart w:id="24" w:name="_Toc3205894"/>
      <w:r>
        <w:t>3.</w:t>
      </w:r>
      <w:r w:rsidR="00C638A7">
        <w:t>3</w:t>
      </w:r>
      <w:r>
        <w:t xml:space="preserve"> </w:t>
      </w:r>
      <w:r w:rsidRPr="00D44261">
        <w:t xml:space="preserve">Transport </w:t>
      </w:r>
      <w:bookmarkEnd w:id="23"/>
      <w:r w:rsidRPr="00D44261">
        <w:t>Security</w:t>
      </w:r>
      <w:bookmarkEnd w:id="24"/>
    </w:p>
    <w:p w:rsidR="00D44261" w:rsidRPr="00D44261" w:rsidRDefault="00D44261" w:rsidP="00D44261">
      <w:pPr>
        <w:pStyle w:val="BodyText"/>
      </w:pPr>
      <w:r w:rsidRPr="00D44261">
        <w:t>The Ivanti Cloud transfers data securely through industry-standard methods such as HTTPS using SSL/TLS, and AES 256-bit encryption.</w:t>
      </w:r>
    </w:p>
    <w:p w:rsidR="00D44261" w:rsidRPr="00D44261" w:rsidRDefault="00D44261" w:rsidP="00D44261">
      <w:pPr>
        <w:pStyle w:val="BodyText"/>
      </w:pPr>
      <w:r w:rsidRPr="00D44261">
        <w:lastRenderedPageBreak/>
        <w:t xml:space="preserve">To support back-end integration from your network, Ivanti can provide VPN connections using industry- standard AES (128 or 256) IPSec encryption. VPN’s are optional and depend on the security practices of our customers and </w:t>
      </w:r>
      <w:proofErr w:type="gramStart"/>
      <w:r w:rsidRPr="00D44261">
        <w:t>whether or not</w:t>
      </w:r>
      <w:proofErr w:type="gramEnd"/>
      <w:r w:rsidRPr="00D44261">
        <w:t xml:space="preserve"> a VPN is required.</w:t>
      </w:r>
    </w:p>
    <w:p w:rsidR="00D44261" w:rsidRDefault="00D44261" w:rsidP="00C638A7">
      <w:pPr>
        <w:pStyle w:val="Heading2"/>
        <w:tabs>
          <w:tab w:val="left" w:pos="1579"/>
        </w:tabs>
        <w:spacing w:before="190"/>
        <w:ind w:left="360"/>
      </w:pPr>
      <w:bookmarkStart w:id="25" w:name="_TOC_250009"/>
      <w:bookmarkStart w:id="26" w:name="_TOC_250008"/>
      <w:bookmarkStart w:id="27" w:name="_Toc3205895"/>
      <w:bookmarkEnd w:id="25"/>
      <w:bookmarkEnd w:id="26"/>
      <w:r>
        <w:t>3.4 Data Privacy</w:t>
      </w:r>
      <w:bookmarkEnd w:id="27"/>
    </w:p>
    <w:p w:rsidR="00D44261" w:rsidRPr="00D44261" w:rsidRDefault="00D44261" w:rsidP="00C638A7">
      <w:pPr>
        <w:pStyle w:val="BodyText"/>
        <w:ind w:left="360"/>
      </w:pPr>
      <w:r w:rsidRPr="00D44261">
        <w:t xml:space="preserve">Ivanti’s Data Privacy Policy satisfies General Data Privacy Regulation (GDPR), the California Consumer Privacy Act (CCPA) requirements, and governs Ivanti Cloud information-handling practices. See this link to access the Ivanti Privacy Policy: </w:t>
      </w:r>
      <w:hyperlink r:id="rId14" w:history="1">
        <w:r w:rsidRPr="00D44261">
          <w:rPr>
            <w:rStyle w:val="Hyperlink"/>
            <w:noProof w:val="0"/>
            <w:color w:val="auto"/>
            <w:sz w:val="18"/>
            <w:szCs w:val="17"/>
          </w:rPr>
          <w:t>https://www.ivanti.com/company/legal/privacy-policy</w:t>
        </w:r>
      </w:hyperlink>
      <w:r w:rsidRPr="00D44261">
        <w:t>.</w:t>
      </w:r>
    </w:p>
    <w:p w:rsidR="00D44261" w:rsidRPr="00D44261" w:rsidRDefault="00C638A7" w:rsidP="00C638A7">
      <w:pPr>
        <w:pStyle w:val="Heading2"/>
        <w:ind w:left="360"/>
      </w:pPr>
      <w:bookmarkStart w:id="28" w:name="_TOC_250007"/>
      <w:bookmarkStart w:id="29" w:name="_Toc3205896"/>
      <w:r>
        <w:t xml:space="preserve">3.4.1 </w:t>
      </w:r>
      <w:r w:rsidR="00D44261" w:rsidRPr="00D44261">
        <w:t xml:space="preserve">Separate Tenant </w:t>
      </w:r>
      <w:bookmarkEnd w:id="28"/>
      <w:r w:rsidR="00D44261" w:rsidRPr="00D44261">
        <w:t>Databases</w:t>
      </w:r>
      <w:bookmarkEnd w:id="29"/>
    </w:p>
    <w:p w:rsidR="00D44261" w:rsidRPr="00D44261" w:rsidRDefault="00D44261" w:rsidP="00C638A7">
      <w:pPr>
        <w:pStyle w:val="BodyText"/>
        <w:ind w:left="360"/>
      </w:pPr>
      <w:r w:rsidRPr="00D44261">
        <w:t>Securely housing customer data in separate databases ensures tenant data confidentiality. Additional application-specific controls protect data from unauthorized access across multiple layers of the application.</w:t>
      </w:r>
    </w:p>
    <w:p w:rsidR="00D44261" w:rsidRPr="00D44261" w:rsidRDefault="00C638A7" w:rsidP="00C638A7">
      <w:pPr>
        <w:pStyle w:val="Heading2"/>
        <w:ind w:left="360"/>
      </w:pPr>
      <w:bookmarkStart w:id="30" w:name="_TOC_250005"/>
      <w:bookmarkStart w:id="31" w:name="_Toc3205897"/>
      <w:r>
        <w:t xml:space="preserve">3.4.2 </w:t>
      </w:r>
      <w:r w:rsidR="00D44261" w:rsidRPr="00D44261">
        <w:t xml:space="preserve">Data Access Controls and </w:t>
      </w:r>
      <w:bookmarkEnd w:id="30"/>
      <w:r w:rsidR="00D44261" w:rsidRPr="00D44261">
        <w:t>Auditing</w:t>
      </w:r>
      <w:bookmarkEnd w:id="31"/>
    </w:p>
    <w:p w:rsidR="00D44261" w:rsidRPr="00D44261" w:rsidRDefault="00D44261" w:rsidP="00C638A7">
      <w:pPr>
        <w:pStyle w:val="BodyText"/>
        <w:ind w:left="360"/>
      </w:pPr>
      <w:r w:rsidRPr="00D44261">
        <w:t>The Ivanti cloud environment has restricted access to customer data. We use several layers of controls for monitoring, including administrative and technical controls. Customers can choose to authorize access to Ivanti cloud operations staff for testing or validation purposes.</w:t>
      </w:r>
    </w:p>
    <w:p w:rsidR="00D44261" w:rsidRPr="00D44261" w:rsidRDefault="00D44261" w:rsidP="00C638A7">
      <w:pPr>
        <w:pStyle w:val="Heading2"/>
        <w:ind w:left="360"/>
      </w:pPr>
      <w:bookmarkStart w:id="32" w:name="_Toc3205898"/>
      <w:r w:rsidRPr="00D44261">
        <w:t>3.4.3</w:t>
      </w:r>
      <w:r w:rsidR="00C638A7">
        <w:t xml:space="preserve"> </w:t>
      </w:r>
      <w:r w:rsidRPr="00D44261">
        <w:t>Ivanti Cloud Storage Data and Privacy</w:t>
      </w:r>
      <w:bookmarkEnd w:id="32"/>
    </w:p>
    <w:p w:rsidR="00D44261" w:rsidRPr="00D44261" w:rsidRDefault="00D44261" w:rsidP="00C638A7">
      <w:pPr>
        <w:pStyle w:val="BodyText"/>
        <w:ind w:left="360"/>
      </w:pPr>
      <w:r w:rsidRPr="00D44261">
        <w:t xml:space="preserve">Data stored in the cloud will be stored in the cloud until the customer requests its removal. To request removal of data, the customer simply sends a request to the assigned Ivanti representative. The data is stored in tenant-specific blob storage to ensure customer security and privacy. </w:t>
      </w:r>
    </w:p>
    <w:p w:rsidR="00D44261" w:rsidRPr="00D44261" w:rsidRDefault="00D44261" w:rsidP="00C638A7">
      <w:pPr>
        <w:pStyle w:val="BodyText"/>
        <w:ind w:left="360"/>
      </w:pPr>
      <w:r w:rsidRPr="00D44261">
        <w:t xml:space="preserve">Tenant-specific Azure SQL databases or Elasticsearch databases can only be accessed by the tenant. Customers only have access to their own data. No customer can access, view, or alter any data from any other customer. Ivanti Cloud Ops teams are available to troubleshoot any issues that may arise with a customer, but Ivanti Cloud Ops will not provide any action without written approval from that customer. Audit trails are in place to record any actions performed on the customer’s behalf, along with a traceable link of their express approval. </w:t>
      </w:r>
    </w:p>
    <w:p w:rsidR="00D44261" w:rsidRPr="00D44261" w:rsidRDefault="00D44261" w:rsidP="00C638A7">
      <w:pPr>
        <w:pStyle w:val="BodyText"/>
        <w:ind w:left="360"/>
      </w:pPr>
      <w:r w:rsidRPr="00D44261">
        <w:t xml:space="preserve">Ivanti does not store customer credentials in the Ivanti Cloud. Any customer credentials cannot be decrypted by Ivanti or anyone else. Customer data in the cloud is stored by tenant, meaning that only that customer (tenant) can access the data. </w:t>
      </w:r>
    </w:p>
    <w:p w:rsidR="00D44261" w:rsidRPr="00D44261" w:rsidRDefault="00D44261" w:rsidP="00C638A7">
      <w:pPr>
        <w:pStyle w:val="BodyText"/>
        <w:ind w:left="360"/>
      </w:pPr>
      <w:r w:rsidRPr="00D44261">
        <w:t xml:space="preserve">Anonymized data is applied to Data Science/Machine Learning for research purposes, to develop machine </w:t>
      </w:r>
      <w:r w:rsidRPr="00D44261">
        <w:t xml:space="preserve">learning models and or peer data evaluation. Per the EULA, no customer Personally Identifiable Information (PII) will be shared with the data science team or any other customer. </w:t>
      </w:r>
    </w:p>
    <w:p w:rsidR="00D44261" w:rsidRPr="006F33AF" w:rsidRDefault="00D44261" w:rsidP="006F33AF">
      <w:pPr>
        <w:pStyle w:val="ListBullet"/>
        <w:ind w:left="720"/>
        <w:rPr>
          <w:color w:val="FF0000"/>
          <w:u w:val="single"/>
        </w:rPr>
      </w:pPr>
      <w:r w:rsidRPr="00D44261">
        <w:t>Ivanti GDPR Documentation</w:t>
      </w:r>
      <w:r w:rsidR="006F33AF">
        <w:br/>
      </w:r>
      <w:hyperlink r:id="rId15" w:history="1">
        <w:r w:rsidRPr="006F33AF">
          <w:rPr>
            <w:rStyle w:val="Hyperlink"/>
            <w:noProof w:val="0"/>
            <w:color w:val="FF0000"/>
            <w:sz w:val="18"/>
            <w:szCs w:val="17"/>
            <w:u w:val="single"/>
          </w:rPr>
          <w:t>https://community.ivanti.com/docs/DOC-67844</w:t>
        </w:r>
      </w:hyperlink>
    </w:p>
    <w:p w:rsidR="00D44261" w:rsidRPr="006F33AF" w:rsidRDefault="00D44261" w:rsidP="006F33AF">
      <w:pPr>
        <w:pStyle w:val="ListBullet"/>
        <w:ind w:left="720"/>
        <w:rPr>
          <w:color w:val="FF0000"/>
          <w:u w:val="single"/>
        </w:rPr>
      </w:pPr>
      <w:r w:rsidRPr="00D44261">
        <w:t>Ivanti Privacy Policy</w:t>
      </w:r>
      <w:r w:rsidR="006F33AF">
        <w:br/>
      </w:r>
      <w:hyperlink r:id="rId16" w:history="1">
        <w:r w:rsidRPr="006F33AF">
          <w:rPr>
            <w:rStyle w:val="Hyperlink"/>
            <w:noProof w:val="0"/>
            <w:color w:val="FF0000"/>
            <w:sz w:val="18"/>
            <w:szCs w:val="17"/>
            <w:u w:val="single"/>
          </w:rPr>
          <w:t>https://www.ivanti.com/company/legal/privacy-policy</w:t>
        </w:r>
      </w:hyperlink>
    </w:p>
    <w:p w:rsidR="00D44261" w:rsidRPr="00D44261" w:rsidRDefault="008E57AB" w:rsidP="00D44261">
      <w:pPr>
        <w:pStyle w:val="Heading2"/>
      </w:pPr>
      <w:bookmarkStart w:id="33" w:name="_TOC_250003"/>
      <w:bookmarkStart w:id="34" w:name="_Toc3205899"/>
      <w:bookmarkEnd w:id="33"/>
      <w:r>
        <w:rPr>
          <w:noProof/>
        </w:rPr>
        <w:lastRenderedPageBreak/>
        <mc:AlternateContent>
          <mc:Choice Requires="wps">
            <w:drawing>
              <wp:anchor distT="0" distB="0" distL="114300" distR="114300" simplePos="0" relativeHeight="251665408" behindDoc="0" locked="0" layoutInCell="1" allowOverlap="1">
                <wp:simplePos x="0" y="0"/>
                <wp:positionH relativeFrom="column">
                  <wp:posOffset>646249</wp:posOffset>
                </wp:positionH>
                <wp:positionV relativeFrom="paragraph">
                  <wp:posOffset>2867297</wp:posOffset>
                </wp:positionV>
                <wp:extent cx="1567543" cy="274320"/>
                <wp:effectExtent l="0" t="0" r="7620" b="5080"/>
                <wp:wrapNone/>
                <wp:docPr id="8" name="Text Box 8"/>
                <wp:cNvGraphicFramePr/>
                <a:graphic xmlns:a="http://schemas.openxmlformats.org/drawingml/2006/main">
                  <a:graphicData uri="http://schemas.microsoft.com/office/word/2010/wordprocessingShape">
                    <wps:wsp>
                      <wps:cNvSpPr txBox="1"/>
                      <wps:spPr>
                        <a:xfrm>
                          <a:off x="0" y="0"/>
                          <a:ext cx="1567543" cy="274320"/>
                        </a:xfrm>
                        <a:prstGeom prst="rect">
                          <a:avLst/>
                        </a:prstGeom>
                        <a:noFill/>
                        <a:ln w="6350">
                          <a:noFill/>
                        </a:ln>
                      </wps:spPr>
                      <wps:txbx>
                        <w:txbxContent>
                          <w:p w:rsidR="005B2919" w:rsidRPr="008E57AB" w:rsidRDefault="005B2919" w:rsidP="005B2919">
                            <w:pPr>
                              <w:spacing w:after="0"/>
                              <w:rPr>
                                <w:rFonts w:cs="Arial (Body CS)"/>
                                <w:b/>
                                <w:i/>
                                <w:sz w:val="16"/>
                                <w:szCs w:val="16"/>
                              </w:rPr>
                            </w:pPr>
                            <w:r w:rsidRPr="008E57AB">
                              <w:rPr>
                                <w:rFonts w:cs="Arial (Body CS)"/>
                                <w:b/>
                                <w:i/>
                                <w:sz w:val="16"/>
                                <w:szCs w:val="16"/>
                              </w:rPr>
                              <w:t>Figure 3.5.1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8" o:spid="_x0000_s1026" type="#_x0000_t202" style="position:absolute;margin-left:50.9pt;margin-top:225.75pt;width:123.45pt;height:21.6pt;z-index:25166540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" filled="f" stroked="f" strokeweight=".5pt">
                <v:textbox inset="0,0,0,0">
                  <w:txbxContent>
                    <w:p w:rsidR="005B2919" w:rsidRPr="008E57AB" w:rsidRDefault="005B2919" w:rsidP="005B2919">
                      <w:pPr>
                        <w:spacing w:after="0"/>
                        <w:rPr>
                          <w:rFonts w:cs="Arial (Body CS)"/>
                          <w:b/>
                          <w:i/>
                          <w:sz w:val="16"/>
                          <w:szCs w:val="16"/>
                        </w:rPr>
                      </w:pPr>
                      <w:r w:rsidRPr="008E57AB">
                        <w:rPr>
                          <w:rFonts w:cs="Arial (Body CS)"/>
                          <w:b/>
                          <w:i/>
                          <w:sz w:val="16"/>
                          <w:szCs w:val="16"/>
                        </w:rPr>
                        <w:t>Figure 3.5.1</w:t>
                      </w:r>
                    </w:p>
                  </w:txbxContent>
                </v:textbox>
              </v:shape>
            </w:pict>
          </mc:Fallback>
        </mc:AlternateContent>
      </w:r>
      <w:r w:rsidRPr="00D44261">
        <w:rPr>
          <w:noProof/>
        </w:rPr>
        <w:drawing>
          <wp:anchor distT="0" distB="0" distL="0" distR="0" simplePos="0" relativeHeight="251664384" behindDoc="0" locked="0" layoutInCell="1" allowOverlap="1" wp14:anchorId="6ACBCCFF" wp14:editId="27843E9C">
            <wp:simplePos x="0" y="0"/>
            <wp:positionH relativeFrom="page">
              <wp:posOffset>809625</wp:posOffset>
            </wp:positionH>
            <wp:positionV relativeFrom="paragraph">
              <wp:posOffset>80010</wp:posOffset>
            </wp:positionV>
            <wp:extent cx="6256655" cy="3213100"/>
            <wp:effectExtent l="0" t="0" r="0" b="0"/>
            <wp:wrapTopAndBottom/>
            <wp:docPr id="5" name="image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5.jpeg"/>
                    <pic:cNvPicPr/>
                  </pic:nvPicPr>
                  <pic:blipFill rotWithShape="1">
                    <a:blip r:embed="rId17" cstate="print"/>
                    <a:srcRect l="-10171" t="1" r="-15094" b="-15520"/>
                    <a:stretch/>
                  </pic:blipFill>
                  <pic:spPr bwMode="auto">
                    <a:xfrm>
                      <a:off x="0" y="0"/>
                      <a:ext cx="6256655" cy="32131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C638A7">
        <w:t xml:space="preserve">3.5 </w:t>
      </w:r>
      <w:r w:rsidR="00D44261" w:rsidRPr="00D44261">
        <w:t>Availability</w:t>
      </w:r>
      <w:bookmarkEnd w:id="34"/>
    </w:p>
    <w:p w:rsidR="00D44261" w:rsidRPr="00D44261" w:rsidRDefault="006F33AF" w:rsidP="006F33AF">
      <w:pPr>
        <w:pStyle w:val="Heading2"/>
        <w:ind w:left="360"/>
      </w:pPr>
      <w:bookmarkStart w:id="35" w:name="_TOC_250002"/>
      <w:bookmarkStart w:id="36" w:name="_Toc3205900"/>
      <w:r>
        <w:t xml:space="preserve">3.5.1 </w:t>
      </w:r>
      <w:r w:rsidR="00D44261" w:rsidRPr="00D44261">
        <w:t xml:space="preserve">High-Availability </w:t>
      </w:r>
      <w:bookmarkEnd w:id="35"/>
      <w:r w:rsidR="00D44261" w:rsidRPr="00D44261">
        <w:t>Deployment</w:t>
      </w:r>
      <w:bookmarkEnd w:id="36"/>
    </w:p>
    <w:p w:rsidR="00D44261" w:rsidRPr="00D44261" w:rsidRDefault="005B2919" w:rsidP="006F33AF">
      <w:pPr>
        <w:pStyle w:val="BodyText"/>
        <w:ind w:left="360"/>
      </w:pPr>
      <w:r>
        <w:t>As seen in figure 3.5.1, w</w:t>
      </w:r>
      <w:r w:rsidR="00D44261" w:rsidRPr="00D44261">
        <w:t xml:space="preserve">e designed our application to be multi-tenant with high levels of availability. Web application tiers are redundant in design with individually scalable application components, deployed across multiple fault- tolerant zones. Application and infrastructure monitoring </w:t>
      </w:r>
      <w:proofErr w:type="gramStart"/>
      <w:r w:rsidR="00D44261" w:rsidRPr="00D44261">
        <w:t>is</w:t>
      </w:r>
      <w:proofErr w:type="gramEnd"/>
      <w:r w:rsidR="00D44261" w:rsidRPr="00D44261">
        <w:t xml:space="preserve"> available to regulate flow of traffic automatically across these zones to maximize application performance and availability. Continuous monitoring detects anomalies, and self-healing processes reduce the need for human intervention and recovery.</w:t>
      </w:r>
    </w:p>
    <w:p w:rsidR="00D44261" w:rsidRPr="00D44261" w:rsidRDefault="006F33AF" w:rsidP="006F33AF">
      <w:pPr>
        <w:pStyle w:val="Heading2"/>
        <w:ind w:left="360"/>
      </w:pPr>
      <w:bookmarkStart w:id="37" w:name="_TOC_250001"/>
      <w:bookmarkStart w:id="38" w:name="_Toc3205901"/>
      <w:bookmarkEnd w:id="37"/>
      <w:r>
        <w:t xml:space="preserve">3.5.2 </w:t>
      </w:r>
      <w:r w:rsidR="00D44261" w:rsidRPr="00D44261">
        <w:t>Disaster Recovery</w:t>
      </w:r>
      <w:bookmarkEnd w:id="38"/>
    </w:p>
    <w:p w:rsidR="00D44261" w:rsidRPr="00D44261" w:rsidRDefault="00D44261" w:rsidP="006F33AF">
      <w:pPr>
        <w:pStyle w:val="BodyText"/>
        <w:ind w:left="360"/>
      </w:pPr>
      <w:r w:rsidRPr="00D44261">
        <w:t>We use always-on replication for near real-time replication of data to provide a low Recovery Point Objective (RPO) and minimize data loss in the low-probability event of a naturally occurring or human- induced disaster. We use hot backup sites for our core services that our 24X7 NOC Operations can switch to if deemed necessary. Customers choosing our advanced reporting option can get access to this read- only database for reporting purposes without impacting their transactional system."</w:t>
      </w:r>
    </w:p>
    <w:p w:rsidR="00D44261" w:rsidRPr="00D44261" w:rsidRDefault="006F33AF" w:rsidP="00D44261">
      <w:pPr>
        <w:pStyle w:val="Heading2"/>
      </w:pPr>
      <w:bookmarkStart w:id="39" w:name="_Toc3205902"/>
      <w:r>
        <w:t xml:space="preserve">3.6 </w:t>
      </w:r>
      <w:r w:rsidR="00D44261" w:rsidRPr="00D44261">
        <w:t>24X7 Network Operations Center (NOC) and Security Operations Center (SOC)</w:t>
      </w:r>
      <w:bookmarkEnd w:id="39"/>
    </w:p>
    <w:p w:rsidR="00D44261" w:rsidRPr="00D44261" w:rsidRDefault="00D44261" w:rsidP="00D44261">
      <w:pPr>
        <w:pStyle w:val="BodyText"/>
      </w:pPr>
      <w:r w:rsidRPr="00D44261">
        <w:t>We leverage an ISO27001-certified 24x7x365 network operations team, focused on Tier 12 and Tier 2 response with Tier 3 and 4 staff on pager duty. We monitor our NOC operations responses regularly for quality and adherence to SLA. Executive staff reviews NOC SLA reports to ensure optimal operations. The SOC actively monitors security incidents using SIEM.</w:t>
      </w:r>
    </w:p>
    <w:p w:rsidR="00D44261" w:rsidRPr="00D44261" w:rsidRDefault="00C638A7" w:rsidP="00D44261">
      <w:pPr>
        <w:pStyle w:val="Heading1"/>
      </w:pPr>
      <w:bookmarkStart w:id="40" w:name="_Toc3205903"/>
      <w:r>
        <w:t xml:space="preserve">4. </w:t>
      </w:r>
      <w:r w:rsidR="00D44261" w:rsidRPr="00D44261">
        <w:t>Cloud Premise Synchronization</w:t>
      </w:r>
      <w:bookmarkEnd w:id="40"/>
    </w:p>
    <w:p w:rsidR="00D44261" w:rsidRPr="006F33AF" w:rsidRDefault="00D44261" w:rsidP="006F33AF">
      <w:pPr>
        <w:pStyle w:val="BodyText"/>
        <w:rPr>
          <w:b/>
          <w:sz w:val="20"/>
          <w:szCs w:val="20"/>
        </w:rPr>
      </w:pPr>
      <w:r w:rsidRPr="006F33AF">
        <w:rPr>
          <w:b/>
          <w:sz w:val="20"/>
          <w:szCs w:val="20"/>
        </w:rPr>
        <w:t xml:space="preserve">To power Smart Advisors and other features in Ivanti Cloud, </w:t>
      </w:r>
      <w:proofErr w:type="gramStart"/>
      <w:r w:rsidRPr="006F33AF">
        <w:rPr>
          <w:b/>
          <w:sz w:val="20"/>
          <w:szCs w:val="20"/>
        </w:rPr>
        <w:t>End Point</w:t>
      </w:r>
      <w:proofErr w:type="gramEnd"/>
      <w:r w:rsidRPr="006F33AF">
        <w:rPr>
          <w:b/>
          <w:sz w:val="20"/>
          <w:szCs w:val="20"/>
        </w:rPr>
        <w:t xml:space="preserve"> Manager (EPM) synchronizes data to Ivanti Cloud. </w:t>
      </w:r>
    </w:p>
    <w:p w:rsidR="00D44261" w:rsidRPr="003E79DC" w:rsidRDefault="00D44261" w:rsidP="00D44261">
      <w:pPr>
        <w:pStyle w:val="Heading2"/>
      </w:pPr>
      <w:bookmarkStart w:id="41" w:name="_TOC_250000"/>
      <w:bookmarkStart w:id="42" w:name="_Toc3205904"/>
      <w:bookmarkEnd w:id="41"/>
      <w:r w:rsidRPr="00BF7024">
        <w:t xml:space="preserve">4.1 </w:t>
      </w:r>
      <w:r w:rsidRPr="003E79DC">
        <w:t xml:space="preserve">Configuration and Set Up </w:t>
      </w:r>
      <w:proofErr w:type="gramStart"/>
      <w:r w:rsidRPr="003E79DC">
        <w:t>On</w:t>
      </w:r>
      <w:proofErr w:type="gramEnd"/>
      <w:r w:rsidRPr="003E79DC">
        <w:t xml:space="preserve"> the EPM Core</w:t>
      </w:r>
      <w:bookmarkEnd w:id="42"/>
      <w:r w:rsidRPr="003E79DC">
        <w:tab/>
      </w:r>
    </w:p>
    <w:p w:rsidR="00D44261" w:rsidRPr="00D44261" w:rsidRDefault="00D44261" w:rsidP="00D44261">
      <w:pPr>
        <w:pStyle w:val="BodyText"/>
      </w:pPr>
      <w:r w:rsidRPr="00D44261">
        <w:t>The communications that the Ivanti Cloud Agent requires are the following:</w:t>
      </w:r>
    </w:p>
    <w:p w:rsidR="00D44261" w:rsidRPr="00D44261" w:rsidRDefault="00D44261" w:rsidP="00D44261">
      <w:pPr>
        <w:pStyle w:val="ListBullet"/>
      </w:pPr>
      <w:r w:rsidRPr="00D44261">
        <w:t>.NET Requirements - .NET 4.7.2</w:t>
      </w:r>
    </w:p>
    <w:p w:rsidR="00D44261" w:rsidRPr="00D44261" w:rsidRDefault="00D44261" w:rsidP="00D44261">
      <w:pPr>
        <w:pStyle w:val="ListBullet"/>
      </w:pPr>
      <w:r w:rsidRPr="00D44261">
        <w:t>Port – 443 (Inbound and Outbound</w:t>
      </w:r>
      <w:r w:rsidR="00B201EB">
        <w:t>)</w:t>
      </w:r>
    </w:p>
    <w:p w:rsidR="00D44261" w:rsidRPr="00D44261" w:rsidRDefault="00D44261" w:rsidP="00D44261">
      <w:pPr>
        <w:pStyle w:val="ListBullet"/>
      </w:pPr>
      <w:r w:rsidRPr="00D44261">
        <w:t>Protocol – HTTPS</w:t>
      </w:r>
    </w:p>
    <w:p w:rsidR="00D44261" w:rsidRPr="00D44261" w:rsidRDefault="00D44261" w:rsidP="00D44261">
      <w:pPr>
        <w:pStyle w:val="ListBullet"/>
      </w:pPr>
      <w:r w:rsidRPr="00D44261">
        <w:t>Hostname - *.ivanticloud.com</w:t>
      </w:r>
    </w:p>
    <w:p w:rsidR="00D44261" w:rsidRPr="00D44261" w:rsidRDefault="00D44261" w:rsidP="00D44261">
      <w:pPr>
        <w:pStyle w:val="ListBullet"/>
      </w:pPr>
      <w:r w:rsidRPr="00D44261">
        <w:t>EPM 2017.3 SU5 is the minimum supported version</w:t>
      </w:r>
    </w:p>
    <w:p w:rsidR="00D44261" w:rsidRPr="00D44261" w:rsidRDefault="00D44261" w:rsidP="00D44261">
      <w:pPr>
        <w:pStyle w:val="Heading2"/>
      </w:pPr>
      <w:bookmarkStart w:id="43" w:name="_Toc3205905"/>
      <w:r w:rsidRPr="00D44261">
        <w:t>4.2 Ivanti Cloud Agent Communication with EPM Core</w:t>
      </w:r>
      <w:bookmarkEnd w:id="43"/>
    </w:p>
    <w:p w:rsidR="00D44261" w:rsidRPr="00C638A7" w:rsidRDefault="00D44261" w:rsidP="00C638A7">
      <w:pPr>
        <w:pStyle w:val="BodyText"/>
      </w:pPr>
      <w:r w:rsidRPr="00C638A7">
        <w:t xml:space="preserve">The Ivanti Cloud Agent communicates with the cloud several times a day. Discovery data is uploaded as often as daily or as little as weekly depending on how the customer has configured it. The agent will retrieve the latest connector settings from the cloud every 1-2 minutes. The time frame is not configurable in agent </w:t>
      </w:r>
      <w:proofErr w:type="gramStart"/>
      <w:r w:rsidRPr="00C638A7">
        <w:t>settings, but</w:t>
      </w:r>
      <w:proofErr w:type="gramEnd"/>
      <w:r w:rsidRPr="00C638A7">
        <w:t xml:space="preserve"> is configurable within the discovery data collection. The method is secured using TLS and SSL Encryption. </w:t>
      </w:r>
    </w:p>
    <w:p w:rsidR="00D44261" w:rsidRPr="00C638A7" w:rsidRDefault="00D44261" w:rsidP="00C638A7">
      <w:pPr>
        <w:pStyle w:val="BodyText"/>
      </w:pPr>
      <w:r w:rsidRPr="00C638A7">
        <w:lastRenderedPageBreak/>
        <w:t xml:space="preserve">The Ivanti Cloud Agent collects complete device inventory from the core, along with the software usage and all attributes associated with the devices. The data collected is then stored in the Ivanti Cloud in a tenant database saved by customer ID to prevent other customers from viewing the data. Powered by Microsoft Azure, the information is uploaded via secure network connection over HTTPS. </w:t>
      </w:r>
    </w:p>
    <w:p w:rsidR="00D44261" w:rsidRPr="00C638A7" w:rsidRDefault="00D44261" w:rsidP="00C638A7">
      <w:pPr>
        <w:pStyle w:val="Heading2"/>
      </w:pPr>
      <w:bookmarkStart w:id="44" w:name="_Toc3205906"/>
      <w:r w:rsidRPr="00C638A7">
        <w:t>4.3 Ivanti Cloud Data Importing</w:t>
      </w:r>
      <w:bookmarkEnd w:id="44"/>
    </w:p>
    <w:p w:rsidR="00D44261" w:rsidRPr="00C638A7" w:rsidRDefault="00D44261" w:rsidP="00C638A7">
      <w:pPr>
        <w:pStyle w:val="BodyText"/>
      </w:pPr>
      <w:r w:rsidRPr="00C638A7">
        <w:t xml:space="preserve">In addition to EPM, Ivanti Cloud will import data from other sources including: </w:t>
      </w:r>
    </w:p>
    <w:p w:rsidR="00D44261" w:rsidRPr="00860109" w:rsidRDefault="00D44261" w:rsidP="00C638A7">
      <w:pPr>
        <w:pStyle w:val="ListBullet"/>
        <w:rPr>
          <w:w w:val="105"/>
        </w:rPr>
      </w:pPr>
      <w:r w:rsidRPr="00860109">
        <w:rPr>
          <w:w w:val="105"/>
        </w:rPr>
        <w:t>Active Directory</w:t>
      </w:r>
    </w:p>
    <w:p w:rsidR="00D44261" w:rsidRPr="00860109" w:rsidRDefault="00D44261" w:rsidP="00C638A7">
      <w:pPr>
        <w:pStyle w:val="ListBullet"/>
        <w:rPr>
          <w:w w:val="105"/>
        </w:rPr>
      </w:pPr>
      <w:r w:rsidRPr="00860109">
        <w:rPr>
          <w:w w:val="105"/>
        </w:rPr>
        <w:t>Microsoft’s System Center Configuration Manager (SCCM)</w:t>
      </w:r>
    </w:p>
    <w:p w:rsidR="00D44261" w:rsidRPr="00860109" w:rsidRDefault="00D44261" w:rsidP="00C638A7">
      <w:pPr>
        <w:pStyle w:val="ListBullet"/>
        <w:rPr>
          <w:w w:val="105"/>
        </w:rPr>
      </w:pPr>
      <w:r w:rsidRPr="00860109">
        <w:rPr>
          <w:w w:val="105"/>
        </w:rPr>
        <w:t>Data Center Discovery</w:t>
      </w:r>
    </w:p>
    <w:p w:rsidR="006F33AF" w:rsidRDefault="00D44261" w:rsidP="006F33AF">
      <w:pPr>
        <w:pStyle w:val="ListBullet"/>
        <w:rPr>
          <w:rStyle w:val="BodyTextChar"/>
        </w:rPr>
      </w:pPr>
      <w:r w:rsidRPr="006F33AF">
        <w:rPr>
          <w:rStyle w:val="BodyTextChar"/>
        </w:rPr>
        <w:t xml:space="preserve">CSV </w:t>
      </w:r>
    </w:p>
    <w:p w:rsidR="00D44261" w:rsidRPr="00C638A7" w:rsidRDefault="006F33AF" w:rsidP="006F33AF">
      <w:pPr>
        <w:pStyle w:val="Heading1"/>
      </w:pPr>
      <w:r w:rsidRPr="006F33AF">
        <w:rPr>
          <w:rStyle w:val="BodyTextChar"/>
        </w:rPr>
        <w:br w:type="column"/>
      </w:r>
      <w:bookmarkStart w:id="45" w:name="_Toc3205907"/>
      <w:r w:rsidR="00C638A7">
        <w:t xml:space="preserve">5. </w:t>
      </w:r>
      <w:r w:rsidR="00D44261" w:rsidRPr="00C638A7">
        <w:t>Conclusion</w:t>
      </w:r>
      <w:bookmarkEnd w:id="45"/>
      <w:r w:rsidR="00D44261" w:rsidRPr="00C638A7">
        <w:t xml:space="preserve"> </w:t>
      </w:r>
    </w:p>
    <w:p w:rsidR="00D44261" w:rsidRPr="00C638A7" w:rsidRDefault="00D44261" w:rsidP="00C638A7">
      <w:pPr>
        <w:pStyle w:val="BodyText"/>
      </w:pPr>
      <w:r w:rsidRPr="00C638A7">
        <w:t xml:space="preserve">Ivanti recognizes and implements security best-in-class practices with world class products that unify IT. Teams within Ivanti and customers alike utilize the Ivanti Cloud to safely access and store </w:t>
      </w:r>
      <w:proofErr w:type="gramStart"/>
      <w:r w:rsidRPr="00C638A7">
        <w:t>data, and</w:t>
      </w:r>
      <w:proofErr w:type="gramEnd"/>
      <w:r w:rsidRPr="00C638A7">
        <w:t xml:space="preserve"> make full use of Ivanti’s full artillery of product solutions. </w:t>
      </w:r>
    </w:p>
    <w:p w:rsidR="00D44261" w:rsidRPr="00C638A7" w:rsidRDefault="00D44261" w:rsidP="00C638A7">
      <w:pPr>
        <w:pStyle w:val="BodyText"/>
      </w:pPr>
      <w:r w:rsidRPr="00C638A7">
        <w:t>Our cloud services are delivered by our professional cloud-hosting organization with data protection, high availability, and performance standards. Our goal is not only to educate and support our customers into tool acquisition, but to create a lifelong relationship of trust and reliability. The genuine desire to nurture this culture of trust is evidenced by the rapid growth and development of Ivanti’s cloud services.</w:t>
      </w:r>
    </w:p>
    <w:p w:rsidR="00D44261" w:rsidRDefault="00D44261" w:rsidP="00C638A7">
      <w:pPr>
        <w:pStyle w:val="BodyText"/>
      </w:pPr>
      <w:r w:rsidRPr="00C638A7">
        <w:t xml:space="preserve">For more information on our cloud services and other products, please visit </w:t>
      </w:r>
      <w:hyperlink r:id="rId18">
        <w:r w:rsidRPr="00C638A7">
          <w:rPr>
            <w:b/>
            <w:color w:val="FF0000"/>
            <w:u w:val="single"/>
          </w:rPr>
          <w:t>www.ivanti.com</w:t>
        </w:r>
        <w:r w:rsidRPr="00C638A7">
          <w:t>.</w:t>
        </w:r>
      </w:hyperlink>
    </w:p>
    <w:p w:rsidR="006F33AF" w:rsidRPr="00C638A7" w:rsidRDefault="006F33AF" w:rsidP="00C638A7">
      <w:pPr>
        <w:pStyle w:val="BodyText"/>
      </w:pPr>
    </w:p>
    <w:tbl>
      <w:tblPr>
        <w:tblStyle w:val="TableGrid"/>
        <w:tblpPr w:leftFromText="187" w:rightFromText="187" w:vertAnchor="text" w:horzAnchor="margin" w:tblpXSpec="right" w:tblpY="184"/>
        <w:tblW w:w="4670" w:type="dxa"/>
        <w:tblBorders>
          <w:top w:val="single" w:sz="8" w:space="0" w:color="DB291C"/>
          <w:left w:val="single" w:sz="8" w:space="0" w:color="DB291C"/>
          <w:bottom w:val="single" w:sz="8" w:space="0" w:color="DB291C"/>
          <w:right w:val="single" w:sz="8" w:space="0" w:color="DB291C"/>
          <w:insideH w:val="none" w:sz="0" w:space="0" w:color="auto"/>
          <w:insideV w:val="single" w:sz="8" w:space="0" w:color="FFFFFF" w:themeColor="background1"/>
        </w:tblBorders>
        <w:tblCellMar>
          <w:top w:w="58" w:type="dxa"/>
          <w:left w:w="0" w:type="dxa"/>
          <w:bottom w:w="58" w:type="dxa"/>
          <w:right w:w="86" w:type="dxa"/>
        </w:tblCellMar>
        <w:tblLook w:val="04A0" w:firstRow="1" w:lastRow="0" w:firstColumn="1" w:lastColumn="0" w:noHBand="0" w:noVBand="1"/>
      </w:tblPr>
      <w:tblGrid>
        <w:gridCol w:w="4670"/>
      </w:tblGrid>
      <w:tr w:rsidR="006F33AF" w:rsidRPr="00407CBF" w:rsidTr="006F33AF">
        <w:trPr>
          <w:trHeight w:val="144"/>
        </w:trPr>
        <w:tc>
          <w:tcPr>
            <w:tcW w:w="4670" w:type="dxa"/>
            <w:shd w:val="clear" w:color="auto" w:fill="DB291C"/>
            <w:tcMar>
              <w:left w:w="173" w:type="dxa"/>
            </w:tcMar>
          </w:tcPr>
          <w:p w:rsidR="006F33AF" w:rsidRPr="00407CBF" w:rsidRDefault="006F33AF" w:rsidP="006F33AF">
            <w:pPr>
              <w:pStyle w:val="CTAtableheadline"/>
              <w:framePr w:hSpace="0" w:wrap="auto" w:vAnchor="margin" w:hAnchor="text" w:xAlign="left" w:yAlign="inline"/>
              <w:rPr>
                <w:szCs w:val="20"/>
              </w:rPr>
            </w:pPr>
            <w:r>
              <w:rPr>
                <w:szCs w:val="20"/>
              </w:rPr>
              <w:t>Learn More</w:t>
            </w:r>
          </w:p>
        </w:tc>
      </w:tr>
      <w:tr w:rsidR="006F33AF" w:rsidRPr="0018038A" w:rsidTr="006F33AF">
        <w:trPr>
          <w:trHeight w:val="232"/>
        </w:trPr>
        <w:tc>
          <w:tcPr>
            <w:tcW w:w="4670" w:type="dxa"/>
            <w:shd w:val="clear" w:color="auto" w:fill="auto"/>
            <w:tcMar>
              <w:top w:w="101" w:type="dxa"/>
              <w:left w:w="43" w:type="dxa"/>
              <w:right w:w="115" w:type="dxa"/>
            </w:tcMar>
          </w:tcPr>
          <w:p w:rsidR="006F33AF" w:rsidRPr="00060E77" w:rsidRDefault="006F33AF" w:rsidP="006F33AF">
            <w:pPr>
              <w:pStyle w:val="CTAtablecontent"/>
              <w:framePr w:hSpace="0" w:wrap="auto" w:vAnchor="margin" w:hAnchor="text" w:xAlign="left" w:yAlign="inline"/>
              <w:spacing w:before="40" w:after="40"/>
            </w:pPr>
            <w:r w:rsidRPr="00E726B6">
              <w:rPr>
                <w:noProof/>
                <w:position w:val="-8"/>
              </w:rPr>
              <w:drawing>
                <wp:inline distT="0" distB="0" distL="0" distR="0" wp14:anchorId="656740B7" wp14:editId="452A9D8C">
                  <wp:extent cx="190500" cy="190500"/>
                  <wp:effectExtent l="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inline>
              </w:drawing>
            </w:r>
            <w:r w:rsidRPr="00E726B6">
              <w:t xml:space="preserve"> </w:t>
            </w:r>
            <w:r>
              <w:t xml:space="preserve">  </w:t>
            </w:r>
            <w:r w:rsidRPr="00060E77">
              <w:t>ivanti.com</w:t>
            </w:r>
          </w:p>
          <w:p w:rsidR="006F33AF" w:rsidRPr="00060E77" w:rsidRDefault="006F33AF" w:rsidP="006F33AF">
            <w:pPr>
              <w:pStyle w:val="CTAtablecontent"/>
              <w:framePr w:hSpace="0" w:wrap="auto" w:vAnchor="margin" w:hAnchor="text" w:xAlign="left" w:yAlign="inline"/>
              <w:spacing w:before="40" w:after="40"/>
            </w:pPr>
            <w:r w:rsidRPr="00060E77">
              <w:rPr>
                <w:noProof/>
                <w:position w:val="-8"/>
              </w:rPr>
              <w:drawing>
                <wp:inline distT="0" distB="0" distL="0" distR="0" wp14:anchorId="0EEAE160" wp14:editId="63D4C75C">
                  <wp:extent cx="190500" cy="1905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inline>
              </w:drawing>
            </w:r>
            <w:r w:rsidRPr="00060E77">
              <w:t xml:space="preserve">   1 800 982 2130</w:t>
            </w:r>
          </w:p>
          <w:p w:rsidR="006F33AF" w:rsidRPr="00BA7625" w:rsidRDefault="006F33AF" w:rsidP="006F33AF">
            <w:pPr>
              <w:pStyle w:val="CTAtablecontent"/>
              <w:framePr w:hSpace="0" w:wrap="auto" w:vAnchor="margin" w:hAnchor="text" w:xAlign="left" w:yAlign="inline"/>
              <w:spacing w:before="40" w:after="40"/>
            </w:pPr>
            <w:r w:rsidRPr="00060E77">
              <w:rPr>
                <w:rFonts w:ascii="Arial Bold" w:hAnsi="Arial Bold"/>
                <w:noProof/>
                <w:position w:val="-8"/>
              </w:rPr>
              <w:drawing>
                <wp:inline distT="0" distB="0" distL="0" distR="0" wp14:anchorId="74F10A0E" wp14:editId="5E1BC208">
                  <wp:extent cx="190500" cy="190500"/>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cstate="print">
                            <a:extLst>
                              <a:ext uri="{28A0092B-C50C-407E-A947-70E740481C1C}">
                                <a14:useLocalDpi xmlns:a14="http://schemas.microsoft.com/office/drawing/2010/main" val="0"/>
                              </a:ext>
                            </a:extLst>
                          </a:blip>
                          <a:stretch>
                            <a:fillRect/>
                          </a:stretch>
                        </pic:blipFill>
                        <pic:spPr>
                          <a:xfrm>
                            <a:off x="0" y="0"/>
                            <a:ext cx="190500" cy="190500"/>
                          </a:xfrm>
                          <a:prstGeom prst="rect">
                            <a:avLst/>
                          </a:prstGeom>
                        </pic:spPr>
                      </pic:pic>
                    </a:graphicData>
                  </a:graphic>
                </wp:inline>
              </w:drawing>
            </w:r>
            <w:r w:rsidRPr="00060E77">
              <w:t xml:space="preserve">   sales@ivanti.com</w:t>
            </w:r>
          </w:p>
        </w:tc>
      </w:tr>
    </w:tbl>
    <w:p w:rsidR="00321AF1" w:rsidRDefault="00321AF1" w:rsidP="006F33AF">
      <w:pPr>
        <w:pStyle w:val="BodyText"/>
      </w:pPr>
    </w:p>
    <w:p w:rsidR="00587C5A" w:rsidRDefault="00587C5A" w:rsidP="006F33AF">
      <w:pPr>
        <w:pStyle w:val="BodyText"/>
        <w:sectPr w:rsidR="00587C5A" w:rsidSect="00587C5A">
          <w:type w:val="continuous"/>
          <w:pgSz w:w="12240" w:h="15840"/>
          <w:pgMar w:top="1656" w:right="1080" w:bottom="1656" w:left="1080" w:header="936" w:footer="720" w:gutter="0"/>
          <w:cols w:num="2" w:space="720"/>
          <w:titlePg/>
          <w:docGrid w:linePitch="360"/>
        </w:sectPr>
      </w:pPr>
    </w:p>
    <w:p w:rsidR="00321AF1" w:rsidRDefault="00321AF1" w:rsidP="00052436">
      <w:pPr>
        <w:pStyle w:val="BodyText"/>
      </w:pPr>
    </w:p>
    <w:p w:rsidR="00052436" w:rsidRDefault="00052436" w:rsidP="00052436"/>
    <w:p w:rsidR="00600816" w:rsidRDefault="00600816" w:rsidP="006F33AF">
      <w:pPr>
        <w:pStyle w:val="ListBullet"/>
        <w:numPr>
          <w:ilvl w:val="0"/>
          <w:numId w:val="0"/>
        </w:numPr>
        <w:ind w:left="273" w:hanging="187"/>
        <w:sectPr w:rsidR="00600816" w:rsidSect="00600816">
          <w:type w:val="continuous"/>
          <w:pgSz w:w="12240" w:h="15840"/>
          <w:pgMar w:top="1656" w:right="1080" w:bottom="1656" w:left="1080" w:header="936" w:footer="720" w:gutter="0"/>
          <w:cols w:space="720"/>
          <w:titlePg/>
          <w:docGrid w:linePitch="360"/>
        </w:sectPr>
      </w:pPr>
    </w:p>
    <w:p w:rsidR="00175555" w:rsidRDefault="00175555" w:rsidP="006F33AF">
      <w:pPr>
        <w:pStyle w:val="ListBullet"/>
        <w:numPr>
          <w:ilvl w:val="0"/>
          <w:numId w:val="0"/>
        </w:numPr>
      </w:pPr>
    </w:p>
    <w:sectPr w:rsidR="00175555" w:rsidSect="00175555">
      <w:type w:val="continuous"/>
      <w:pgSz w:w="12240" w:h="15840"/>
      <w:pgMar w:top="1656" w:right="1080" w:bottom="1656" w:left="1080" w:header="936"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3568" w:rsidRDefault="00F93568" w:rsidP="003B0271">
      <w:r>
        <w:separator/>
      </w:r>
    </w:p>
  </w:endnote>
  <w:endnote w:type="continuationSeparator" w:id="0">
    <w:p w:rsidR="00F93568" w:rsidRDefault="00F93568" w:rsidP="003B027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0002AFF" w:usb1="C000247B" w:usb2="00000009" w:usb3="00000000" w:csb0="000001FF" w:csb1="00000000"/>
  </w:font>
  <w:font w:name="Arial (Body CS)">
    <w:panose1 w:val="00000000000000000000"/>
    <w:charset w:val="00"/>
    <w:family w:val="roman"/>
    <w:notTrueType/>
    <w:pitch w:val="default"/>
  </w:font>
  <w:font w:name="Arial Bold">
    <w:altName w:val="Arial"/>
    <w:panose1 w:val="020B07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14F38" w:rsidRPr="00914F38" w:rsidRDefault="00DE59E4" w:rsidP="00914F38">
    <w:pPr>
      <w:pStyle w:val="Footer"/>
    </w:pPr>
    <w:r>
      <w:t>ivanti.com</w:t>
    </w:r>
    <w:r>
      <w:ptab w:relativeTo="margin" w:alignment="right" w:leader="none"/>
    </w:r>
    <w:r w:rsidR="009C5ACE">
      <w:fldChar w:fldCharType="begin"/>
    </w:r>
    <w:r w:rsidR="009C5ACE">
      <w:instrText xml:space="preserve"> PAGE { PAGE } of { NUMPAGES } \* MERGEFORMAT </w:instrText>
    </w:r>
    <w:r w:rsidR="009C5ACE">
      <w:fldChar w:fldCharType="separate"/>
    </w:r>
    <w:r w:rsidR="009C7BA8">
      <w:rPr>
        <w:noProof/>
      </w:rPr>
      <w:t>5</w:t>
    </w:r>
    <w:r w:rsidR="009C5ACE">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126CF" w:rsidRPr="00914F38" w:rsidRDefault="00F126CF" w:rsidP="00F126CF">
    <w:pPr>
      <w:pStyle w:val="Footer"/>
    </w:pPr>
    <w:r>
      <w:t>ivanti.com</w:t>
    </w:r>
    <w:r>
      <w:ptab w:relativeTo="margin" w:alignment="right" w:leader="none"/>
    </w:r>
    <w:r>
      <w:fldChar w:fldCharType="begin"/>
    </w:r>
    <w:r>
      <w:instrText xml:space="preserve"> PAGE { PAGE } of { NUMPAGES } \* MERGEFORMAT </w:instrText>
    </w:r>
    <w:r>
      <w:fldChar w:fldCharType="separate"/>
    </w:r>
    <w:r>
      <w:t>4</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3568" w:rsidRDefault="00F93568" w:rsidP="003B0271">
      <w:r>
        <w:separator/>
      </w:r>
    </w:p>
  </w:footnote>
  <w:footnote w:type="continuationSeparator" w:id="0">
    <w:p w:rsidR="00F93568" w:rsidRDefault="00F93568" w:rsidP="003B027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B47BD" w:rsidRPr="00914F38" w:rsidRDefault="00551968" w:rsidP="00914F38">
    <w:pPr>
      <w:pStyle w:val="Header"/>
    </w:pPr>
    <w:r>
      <w:rPr>
        <w:noProof/>
      </w:rPr>
      <w:drawing>
        <wp:anchor distT="0" distB="0" distL="114300" distR="114300" simplePos="0" relativeHeight="251660288" behindDoc="0" locked="0" layoutInCell="1" allowOverlap="1" wp14:anchorId="1303B9C0" wp14:editId="10F9C18F">
          <wp:simplePos x="0" y="0"/>
          <wp:positionH relativeFrom="column">
            <wp:posOffset>-25862</wp:posOffset>
          </wp:positionH>
          <wp:positionV relativeFrom="paragraph">
            <wp:posOffset>-146050</wp:posOffset>
          </wp:positionV>
          <wp:extent cx="723900" cy="250564"/>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vanti-log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250564"/>
                  </a:xfrm>
                  <a:prstGeom prst="rect">
                    <a:avLst/>
                  </a:prstGeom>
                </pic:spPr>
              </pic:pic>
            </a:graphicData>
          </a:graphic>
          <wp14:sizeRelH relativeFrom="page">
            <wp14:pctWidth>0</wp14:pctWidth>
          </wp14:sizeRelH>
          <wp14:sizeRelV relativeFrom="page">
            <wp14:pctHeight>0</wp14:pctHeight>
          </wp14:sizeRelV>
        </wp:anchor>
      </w:drawing>
    </w:r>
    <w:r w:rsidR="00D43D54">
      <w:t xml:space="preserve">WHITE PAPER: </w:t>
    </w:r>
    <w:r w:rsidR="006F33AF">
      <w:t>Ivanti Cloud Security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33AF" w:rsidRPr="00914F38" w:rsidRDefault="006F33AF" w:rsidP="006F33AF">
    <w:pPr>
      <w:pStyle w:val="Header"/>
    </w:pPr>
    <w:r>
      <w:rPr>
        <w:noProof/>
      </w:rPr>
      <w:drawing>
        <wp:anchor distT="0" distB="0" distL="114300" distR="114300" simplePos="0" relativeHeight="251662336" behindDoc="0" locked="0" layoutInCell="1" allowOverlap="1" wp14:anchorId="18B78CBF" wp14:editId="549F274B">
          <wp:simplePos x="0" y="0"/>
          <wp:positionH relativeFrom="column">
            <wp:posOffset>-25862</wp:posOffset>
          </wp:positionH>
          <wp:positionV relativeFrom="paragraph">
            <wp:posOffset>-146050</wp:posOffset>
          </wp:positionV>
          <wp:extent cx="723900" cy="250564"/>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vanti-log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23900" cy="250564"/>
                  </a:xfrm>
                  <a:prstGeom prst="rect">
                    <a:avLst/>
                  </a:prstGeom>
                </pic:spPr>
              </pic:pic>
            </a:graphicData>
          </a:graphic>
          <wp14:sizeRelH relativeFrom="page">
            <wp14:pctWidth>0</wp14:pctWidth>
          </wp14:sizeRelH>
          <wp14:sizeRelV relativeFrom="page">
            <wp14:pctHeight>0</wp14:pctHeight>
          </wp14:sizeRelV>
        </wp:anchor>
      </w:drawing>
    </w:r>
    <w:r>
      <w:t>WHITE PAPER: Ivanti Cloud Security</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47B09028"/>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235E1A90"/>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7B141312"/>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581A71B6"/>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3CD64590"/>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55424598"/>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F2E84004"/>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CC1280"/>
    <w:lvl w:ilvl="0">
      <w:start w:val="1"/>
      <w:numFmt w:val="bullet"/>
      <w:pStyle w:val="TableBullet1"/>
      <w:lvlText w:val=""/>
      <w:lvlJc w:val="left"/>
      <w:pPr>
        <w:ind w:left="720" w:hanging="360"/>
      </w:pPr>
      <w:rPr>
        <w:rFonts w:ascii="Wingdings" w:hAnsi="Wingdings" w:hint="default"/>
        <w:color w:val="E12726"/>
      </w:rPr>
    </w:lvl>
  </w:abstractNum>
  <w:abstractNum w:abstractNumId="8" w15:restartNumberingAfterBreak="0">
    <w:nsid w:val="FFFFFF88"/>
    <w:multiLevelType w:val="singleLevel"/>
    <w:tmpl w:val="D88AD70A"/>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5E38F4F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77B3199"/>
    <w:multiLevelType w:val="multilevel"/>
    <w:tmpl w:val="B36CBEF6"/>
    <w:lvl w:ilvl="0">
      <w:start w:val="1"/>
      <w:numFmt w:val="decimal"/>
      <w:lvlText w:val="%1."/>
      <w:lvlJc w:val="left"/>
      <w:pPr>
        <w:ind w:left="498" w:hanging="360"/>
      </w:pPr>
      <w:rPr>
        <w:rFonts w:ascii="Arial" w:eastAsia="Arial" w:hAnsi="Arial" w:cs="Arial" w:hint="default"/>
        <w:b/>
        <w:bCs/>
        <w:color w:val="E12726"/>
        <w:w w:val="99"/>
        <w:sz w:val="28"/>
        <w:szCs w:val="28"/>
      </w:rPr>
    </w:lvl>
    <w:lvl w:ilvl="1">
      <w:start w:val="1"/>
      <w:numFmt w:val="decimal"/>
      <w:lvlText w:val="%1.%2."/>
      <w:lvlJc w:val="left"/>
      <w:pPr>
        <w:ind w:left="972" w:hanging="432"/>
      </w:pPr>
      <w:rPr>
        <w:rFonts w:ascii="Arial" w:eastAsia="Arial" w:hAnsi="Arial" w:cs="Arial" w:hint="default"/>
        <w:b/>
        <w:bCs/>
        <w:w w:val="100"/>
        <w:sz w:val="24"/>
        <w:szCs w:val="24"/>
      </w:rPr>
    </w:lvl>
    <w:lvl w:ilvl="2">
      <w:numFmt w:val="bullet"/>
      <w:lvlText w:val=""/>
      <w:lvlJc w:val="left"/>
      <w:pPr>
        <w:ind w:left="1218" w:hanging="360"/>
      </w:pPr>
      <w:rPr>
        <w:rFonts w:ascii="Wingdings" w:eastAsia="Wingdings" w:hAnsi="Wingdings" w:cs="Wingdings" w:hint="default"/>
        <w:color w:val="44546A"/>
        <w:w w:val="103"/>
        <w:sz w:val="20"/>
        <w:szCs w:val="20"/>
      </w:rPr>
    </w:lvl>
    <w:lvl w:ilvl="3">
      <w:numFmt w:val="bullet"/>
      <w:lvlText w:val="•"/>
      <w:lvlJc w:val="left"/>
      <w:pPr>
        <w:ind w:left="2395" w:hanging="360"/>
      </w:pPr>
      <w:rPr>
        <w:rFonts w:hint="default"/>
      </w:rPr>
    </w:lvl>
    <w:lvl w:ilvl="4">
      <w:numFmt w:val="bullet"/>
      <w:lvlText w:val="•"/>
      <w:lvlJc w:val="left"/>
      <w:pPr>
        <w:ind w:left="3570" w:hanging="360"/>
      </w:pPr>
      <w:rPr>
        <w:rFonts w:hint="default"/>
      </w:rPr>
    </w:lvl>
    <w:lvl w:ilvl="5">
      <w:numFmt w:val="bullet"/>
      <w:lvlText w:val="•"/>
      <w:lvlJc w:val="left"/>
      <w:pPr>
        <w:ind w:left="4745" w:hanging="360"/>
      </w:pPr>
      <w:rPr>
        <w:rFonts w:hint="default"/>
      </w:rPr>
    </w:lvl>
    <w:lvl w:ilvl="6">
      <w:numFmt w:val="bullet"/>
      <w:lvlText w:val="•"/>
      <w:lvlJc w:val="left"/>
      <w:pPr>
        <w:ind w:left="5920" w:hanging="360"/>
      </w:pPr>
      <w:rPr>
        <w:rFonts w:hint="default"/>
      </w:rPr>
    </w:lvl>
    <w:lvl w:ilvl="7">
      <w:numFmt w:val="bullet"/>
      <w:lvlText w:val="•"/>
      <w:lvlJc w:val="left"/>
      <w:pPr>
        <w:ind w:left="7095" w:hanging="360"/>
      </w:pPr>
      <w:rPr>
        <w:rFonts w:hint="default"/>
      </w:rPr>
    </w:lvl>
    <w:lvl w:ilvl="8">
      <w:numFmt w:val="bullet"/>
      <w:lvlText w:val="•"/>
      <w:lvlJc w:val="left"/>
      <w:pPr>
        <w:ind w:left="8270" w:hanging="360"/>
      </w:pPr>
      <w:rPr>
        <w:rFonts w:hint="default"/>
      </w:rPr>
    </w:lvl>
  </w:abstractNum>
  <w:abstractNum w:abstractNumId="11" w15:restartNumberingAfterBreak="0">
    <w:nsid w:val="0DE52C36"/>
    <w:multiLevelType w:val="hybridMultilevel"/>
    <w:tmpl w:val="A312757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8B22BB2"/>
    <w:multiLevelType w:val="hybridMultilevel"/>
    <w:tmpl w:val="1A5E0C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A082FEA"/>
    <w:multiLevelType w:val="hybridMultilevel"/>
    <w:tmpl w:val="C27E01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38F0216F"/>
    <w:multiLevelType w:val="hybridMultilevel"/>
    <w:tmpl w:val="B84E0ADC"/>
    <w:lvl w:ilvl="0" w:tplc="D3F85E16">
      <w:start w:val="1"/>
      <w:numFmt w:val="bullet"/>
      <w:pStyle w:val="ListBullet2"/>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3D4E1E83"/>
    <w:multiLevelType w:val="multilevel"/>
    <w:tmpl w:val="D4520DC6"/>
    <w:lvl w:ilvl="0">
      <w:start w:val="3"/>
      <w:numFmt w:val="decimal"/>
      <w:lvlText w:val="%1"/>
      <w:lvlJc w:val="left"/>
      <w:pPr>
        <w:ind w:left="1578" w:hanging="720"/>
      </w:pPr>
      <w:rPr>
        <w:rFonts w:hint="default"/>
      </w:rPr>
    </w:lvl>
    <w:lvl w:ilvl="1">
      <w:start w:val="5"/>
      <w:numFmt w:val="decimal"/>
      <w:lvlText w:val="%1.%2"/>
      <w:lvlJc w:val="left"/>
      <w:pPr>
        <w:ind w:left="1260" w:hanging="720"/>
      </w:pPr>
      <w:rPr>
        <w:rFonts w:hint="default"/>
      </w:rPr>
    </w:lvl>
    <w:lvl w:ilvl="2">
      <w:start w:val="1"/>
      <w:numFmt w:val="decimal"/>
      <w:lvlText w:val="%1.%2.%3."/>
      <w:lvlJc w:val="left"/>
      <w:pPr>
        <w:ind w:left="1578" w:hanging="720"/>
      </w:pPr>
      <w:rPr>
        <w:rFonts w:ascii="Arial" w:eastAsia="Arial" w:hAnsi="Arial" w:cs="Arial" w:hint="default"/>
        <w:b/>
        <w:bCs/>
        <w:spacing w:val="-14"/>
        <w:w w:val="100"/>
        <w:sz w:val="24"/>
        <w:szCs w:val="24"/>
      </w:rPr>
    </w:lvl>
    <w:lvl w:ilvl="3">
      <w:numFmt w:val="bullet"/>
      <w:lvlText w:val="•"/>
      <w:lvlJc w:val="left"/>
      <w:pPr>
        <w:ind w:left="4292" w:hanging="720"/>
      </w:pPr>
      <w:rPr>
        <w:rFonts w:hint="default"/>
      </w:rPr>
    </w:lvl>
    <w:lvl w:ilvl="4">
      <w:numFmt w:val="bullet"/>
      <w:lvlText w:val="•"/>
      <w:lvlJc w:val="left"/>
      <w:pPr>
        <w:ind w:left="5196" w:hanging="720"/>
      </w:pPr>
      <w:rPr>
        <w:rFonts w:hint="default"/>
      </w:rPr>
    </w:lvl>
    <w:lvl w:ilvl="5">
      <w:numFmt w:val="bullet"/>
      <w:lvlText w:val="•"/>
      <w:lvlJc w:val="left"/>
      <w:pPr>
        <w:ind w:left="6100" w:hanging="720"/>
      </w:pPr>
      <w:rPr>
        <w:rFonts w:hint="default"/>
      </w:rPr>
    </w:lvl>
    <w:lvl w:ilvl="6">
      <w:numFmt w:val="bullet"/>
      <w:lvlText w:val="•"/>
      <w:lvlJc w:val="left"/>
      <w:pPr>
        <w:ind w:left="7004" w:hanging="720"/>
      </w:pPr>
      <w:rPr>
        <w:rFonts w:hint="default"/>
      </w:rPr>
    </w:lvl>
    <w:lvl w:ilvl="7">
      <w:numFmt w:val="bullet"/>
      <w:lvlText w:val="•"/>
      <w:lvlJc w:val="left"/>
      <w:pPr>
        <w:ind w:left="7908" w:hanging="720"/>
      </w:pPr>
      <w:rPr>
        <w:rFonts w:hint="default"/>
      </w:rPr>
    </w:lvl>
    <w:lvl w:ilvl="8">
      <w:numFmt w:val="bullet"/>
      <w:lvlText w:val="•"/>
      <w:lvlJc w:val="left"/>
      <w:pPr>
        <w:ind w:left="8812" w:hanging="720"/>
      </w:pPr>
      <w:rPr>
        <w:rFonts w:hint="default"/>
      </w:rPr>
    </w:lvl>
  </w:abstractNum>
  <w:abstractNum w:abstractNumId="16" w15:restartNumberingAfterBreak="0">
    <w:nsid w:val="48826640"/>
    <w:multiLevelType w:val="hybridMultilevel"/>
    <w:tmpl w:val="E9F275EE"/>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FD26058"/>
    <w:multiLevelType w:val="hybridMultilevel"/>
    <w:tmpl w:val="2A6E4804"/>
    <w:lvl w:ilvl="0" w:tplc="04090001">
      <w:start w:val="1"/>
      <w:numFmt w:val="bullet"/>
      <w:lvlText w:val=""/>
      <w:lvlJc w:val="left"/>
      <w:pPr>
        <w:ind w:left="1218" w:hanging="360"/>
      </w:pPr>
      <w:rPr>
        <w:rFonts w:ascii="Symbol" w:hAnsi="Symbol" w:hint="default"/>
      </w:rPr>
    </w:lvl>
    <w:lvl w:ilvl="1" w:tplc="04090003" w:tentative="1">
      <w:start w:val="1"/>
      <w:numFmt w:val="bullet"/>
      <w:lvlText w:val="o"/>
      <w:lvlJc w:val="left"/>
      <w:pPr>
        <w:ind w:left="1938" w:hanging="360"/>
      </w:pPr>
      <w:rPr>
        <w:rFonts w:ascii="Courier New" w:hAnsi="Courier New" w:cs="Courier New" w:hint="default"/>
      </w:rPr>
    </w:lvl>
    <w:lvl w:ilvl="2" w:tplc="04090005" w:tentative="1">
      <w:start w:val="1"/>
      <w:numFmt w:val="bullet"/>
      <w:lvlText w:val=""/>
      <w:lvlJc w:val="left"/>
      <w:pPr>
        <w:ind w:left="2658" w:hanging="360"/>
      </w:pPr>
      <w:rPr>
        <w:rFonts w:ascii="Wingdings" w:hAnsi="Wingdings" w:hint="default"/>
      </w:rPr>
    </w:lvl>
    <w:lvl w:ilvl="3" w:tplc="04090001" w:tentative="1">
      <w:start w:val="1"/>
      <w:numFmt w:val="bullet"/>
      <w:lvlText w:val=""/>
      <w:lvlJc w:val="left"/>
      <w:pPr>
        <w:ind w:left="3378" w:hanging="360"/>
      </w:pPr>
      <w:rPr>
        <w:rFonts w:ascii="Symbol" w:hAnsi="Symbol" w:hint="default"/>
      </w:rPr>
    </w:lvl>
    <w:lvl w:ilvl="4" w:tplc="04090003" w:tentative="1">
      <w:start w:val="1"/>
      <w:numFmt w:val="bullet"/>
      <w:lvlText w:val="o"/>
      <w:lvlJc w:val="left"/>
      <w:pPr>
        <w:ind w:left="4098" w:hanging="360"/>
      </w:pPr>
      <w:rPr>
        <w:rFonts w:ascii="Courier New" w:hAnsi="Courier New" w:cs="Courier New" w:hint="default"/>
      </w:rPr>
    </w:lvl>
    <w:lvl w:ilvl="5" w:tplc="04090005" w:tentative="1">
      <w:start w:val="1"/>
      <w:numFmt w:val="bullet"/>
      <w:lvlText w:val=""/>
      <w:lvlJc w:val="left"/>
      <w:pPr>
        <w:ind w:left="4818" w:hanging="360"/>
      </w:pPr>
      <w:rPr>
        <w:rFonts w:ascii="Wingdings" w:hAnsi="Wingdings" w:hint="default"/>
      </w:rPr>
    </w:lvl>
    <w:lvl w:ilvl="6" w:tplc="04090001" w:tentative="1">
      <w:start w:val="1"/>
      <w:numFmt w:val="bullet"/>
      <w:lvlText w:val=""/>
      <w:lvlJc w:val="left"/>
      <w:pPr>
        <w:ind w:left="5538" w:hanging="360"/>
      </w:pPr>
      <w:rPr>
        <w:rFonts w:ascii="Symbol" w:hAnsi="Symbol" w:hint="default"/>
      </w:rPr>
    </w:lvl>
    <w:lvl w:ilvl="7" w:tplc="04090003" w:tentative="1">
      <w:start w:val="1"/>
      <w:numFmt w:val="bullet"/>
      <w:lvlText w:val="o"/>
      <w:lvlJc w:val="left"/>
      <w:pPr>
        <w:ind w:left="6258" w:hanging="360"/>
      </w:pPr>
      <w:rPr>
        <w:rFonts w:ascii="Courier New" w:hAnsi="Courier New" w:cs="Courier New" w:hint="default"/>
      </w:rPr>
    </w:lvl>
    <w:lvl w:ilvl="8" w:tplc="04090005" w:tentative="1">
      <w:start w:val="1"/>
      <w:numFmt w:val="bullet"/>
      <w:lvlText w:val=""/>
      <w:lvlJc w:val="left"/>
      <w:pPr>
        <w:ind w:left="6978" w:hanging="360"/>
      </w:pPr>
      <w:rPr>
        <w:rFonts w:ascii="Wingdings" w:hAnsi="Wingdings" w:hint="default"/>
      </w:rPr>
    </w:lvl>
  </w:abstractNum>
  <w:abstractNum w:abstractNumId="18" w15:restartNumberingAfterBreak="0">
    <w:nsid w:val="53F75F0E"/>
    <w:multiLevelType w:val="hybridMultilevel"/>
    <w:tmpl w:val="A7E0D2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63C7D0C"/>
    <w:multiLevelType w:val="hybridMultilevel"/>
    <w:tmpl w:val="F17E2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C76668C"/>
    <w:multiLevelType w:val="hybridMultilevel"/>
    <w:tmpl w:val="FB0CA56C"/>
    <w:lvl w:ilvl="0" w:tplc="B9BC0E9C">
      <w:start w:val="1"/>
      <w:numFmt w:val="bullet"/>
      <w:pStyle w:val="ListBullet"/>
      <w:lvlText w:val=""/>
      <w:lvlJc w:val="left"/>
      <w:pPr>
        <w:ind w:left="360" w:hanging="360"/>
      </w:pPr>
      <w:rPr>
        <w:rFonts w:ascii="Wingdings" w:hAnsi="Wingdings" w:hint="default"/>
        <w:color w:val="E12726"/>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1" w15:restartNumberingAfterBreak="0">
    <w:nsid w:val="5DCC12BA"/>
    <w:multiLevelType w:val="hybridMultilevel"/>
    <w:tmpl w:val="3E1059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5F51612D"/>
    <w:multiLevelType w:val="multilevel"/>
    <w:tmpl w:val="F80EE75A"/>
    <w:lvl w:ilvl="0">
      <w:start w:val="3"/>
      <w:numFmt w:val="decimal"/>
      <w:lvlText w:val="%1"/>
      <w:lvlJc w:val="left"/>
      <w:pPr>
        <w:ind w:left="540" w:hanging="540"/>
      </w:pPr>
      <w:rPr>
        <w:rFonts w:hint="default"/>
      </w:rPr>
    </w:lvl>
    <w:lvl w:ilvl="1">
      <w:start w:val="4"/>
      <w:numFmt w:val="decimal"/>
      <w:lvlText w:val="%1.%2"/>
      <w:lvlJc w:val="left"/>
      <w:pPr>
        <w:ind w:left="969" w:hanging="540"/>
      </w:pPr>
      <w:rPr>
        <w:rFonts w:hint="default"/>
      </w:rPr>
    </w:lvl>
    <w:lvl w:ilvl="2">
      <w:start w:val="1"/>
      <w:numFmt w:val="decimal"/>
      <w:lvlText w:val="%1.%2.%3"/>
      <w:lvlJc w:val="left"/>
      <w:pPr>
        <w:ind w:left="1578" w:hanging="720"/>
      </w:pPr>
      <w:rPr>
        <w:rFonts w:hint="default"/>
      </w:rPr>
    </w:lvl>
    <w:lvl w:ilvl="3">
      <w:start w:val="1"/>
      <w:numFmt w:val="decimal"/>
      <w:lvlText w:val="%1.%2.%3.%4"/>
      <w:lvlJc w:val="left"/>
      <w:pPr>
        <w:ind w:left="2367" w:hanging="1080"/>
      </w:pPr>
      <w:rPr>
        <w:rFonts w:hint="default"/>
      </w:rPr>
    </w:lvl>
    <w:lvl w:ilvl="4">
      <w:start w:val="1"/>
      <w:numFmt w:val="decimal"/>
      <w:lvlText w:val="%1.%2.%3.%4.%5"/>
      <w:lvlJc w:val="left"/>
      <w:pPr>
        <w:ind w:left="2796" w:hanging="1080"/>
      </w:pPr>
      <w:rPr>
        <w:rFonts w:hint="default"/>
      </w:rPr>
    </w:lvl>
    <w:lvl w:ilvl="5">
      <w:start w:val="1"/>
      <w:numFmt w:val="decimal"/>
      <w:lvlText w:val="%1.%2.%3.%4.%5.%6"/>
      <w:lvlJc w:val="left"/>
      <w:pPr>
        <w:ind w:left="3585" w:hanging="1440"/>
      </w:pPr>
      <w:rPr>
        <w:rFonts w:hint="default"/>
      </w:rPr>
    </w:lvl>
    <w:lvl w:ilvl="6">
      <w:start w:val="1"/>
      <w:numFmt w:val="decimal"/>
      <w:lvlText w:val="%1.%2.%3.%4.%5.%6.%7"/>
      <w:lvlJc w:val="left"/>
      <w:pPr>
        <w:ind w:left="4014" w:hanging="1440"/>
      </w:pPr>
      <w:rPr>
        <w:rFonts w:hint="default"/>
      </w:rPr>
    </w:lvl>
    <w:lvl w:ilvl="7">
      <w:start w:val="1"/>
      <w:numFmt w:val="decimal"/>
      <w:lvlText w:val="%1.%2.%3.%4.%5.%6.%7.%8"/>
      <w:lvlJc w:val="left"/>
      <w:pPr>
        <w:ind w:left="4803" w:hanging="1800"/>
      </w:pPr>
      <w:rPr>
        <w:rFonts w:hint="default"/>
      </w:rPr>
    </w:lvl>
    <w:lvl w:ilvl="8">
      <w:start w:val="1"/>
      <w:numFmt w:val="decimal"/>
      <w:lvlText w:val="%1.%2.%3.%4.%5.%6.%7.%8.%9"/>
      <w:lvlJc w:val="left"/>
      <w:pPr>
        <w:ind w:left="5232" w:hanging="1800"/>
      </w:pPr>
      <w:rPr>
        <w:rFonts w:hint="default"/>
      </w:rPr>
    </w:lvl>
  </w:abstractNum>
  <w:abstractNum w:abstractNumId="23" w15:restartNumberingAfterBreak="0">
    <w:nsid w:val="62965D32"/>
    <w:multiLevelType w:val="hybridMultilevel"/>
    <w:tmpl w:val="1ED8BD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62E0697F"/>
    <w:multiLevelType w:val="hybridMultilevel"/>
    <w:tmpl w:val="0CA80412"/>
    <w:lvl w:ilvl="0" w:tplc="46BCF7F4">
      <w:start w:val="1"/>
      <w:numFmt w:val="decimal"/>
      <w:pStyle w:val="ListNumber"/>
      <w:lvlText w:val="%1."/>
      <w:lvlJc w:val="left"/>
      <w:pPr>
        <w:ind w:left="720" w:hanging="360"/>
      </w:pPr>
    </w:lvl>
    <w:lvl w:ilvl="1" w:tplc="7A881076">
      <w:start w:val="1"/>
      <w:numFmt w:val="lowerLetter"/>
      <w:pStyle w:val="ListNumber2"/>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5357EAA"/>
    <w:multiLevelType w:val="hybridMultilevel"/>
    <w:tmpl w:val="0936CC88"/>
    <w:lvl w:ilvl="0" w:tplc="04090001">
      <w:start w:val="1"/>
      <w:numFmt w:val="bullet"/>
      <w:lvlText w:val=""/>
      <w:lvlJc w:val="left"/>
      <w:pPr>
        <w:ind w:left="1218" w:hanging="360"/>
      </w:pPr>
      <w:rPr>
        <w:rFonts w:ascii="Symbol" w:hAnsi="Symbol" w:hint="default"/>
      </w:rPr>
    </w:lvl>
    <w:lvl w:ilvl="1" w:tplc="04090003" w:tentative="1">
      <w:start w:val="1"/>
      <w:numFmt w:val="bullet"/>
      <w:lvlText w:val="o"/>
      <w:lvlJc w:val="left"/>
      <w:pPr>
        <w:ind w:left="1938" w:hanging="360"/>
      </w:pPr>
      <w:rPr>
        <w:rFonts w:ascii="Courier New" w:hAnsi="Courier New" w:cs="Courier New" w:hint="default"/>
      </w:rPr>
    </w:lvl>
    <w:lvl w:ilvl="2" w:tplc="04090005" w:tentative="1">
      <w:start w:val="1"/>
      <w:numFmt w:val="bullet"/>
      <w:lvlText w:val=""/>
      <w:lvlJc w:val="left"/>
      <w:pPr>
        <w:ind w:left="2658" w:hanging="360"/>
      </w:pPr>
      <w:rPr>
        <w:rFonts w:ascii="Wingdings" w:hAnsi="Wingdings" w:hint="default"/>
      </w:rPr>
    </w:lvl>
    <w:lvl w:ilvl="3" w:tplc="04090001" w:tentative="1">
      <w:start w:val="1"/>
      <w:numFmt w:val="bullet"/>
      <w:lvlText w:val=""/>
      <w:lvlJc w:val="left"/>
      <w:pPr>
        <w:ind w:left="3378" w:hanging="360"/>
      </w:pPr>
      <w:rPr>
        <w:rFonts w:ascii="Symbol" w:hAnsi="Symbol" w:hint="default"/>
      </w:rPr>
    </w:lvl>
    <w:lvl w:ilvl="4" w:tplc="04090003" w:tentative="1">
      <w:start w:val="1"/>
      <w:numFmt w:val="bullet"/>
      <w:lvlText w:val="o"/>
      <w:lvlJc w:val="left"/>
      <w:pPr>
        <w:ind w:left="4098" w:hanging="360"/>
      </w:pPr>
      <w:rPr>
        <w:rFonts w:ascii="Courier New" w:hAnsi="Courier New" w:cs="Courier New" w:hint="default"/>
      </w:rPr>
    </w:lvl>
    <w:lvl w:ilvl="5" w:tplc="04090005" w:tentative="1">
      <w:start w:val="1"/>
      <w:numFmt w:val="bullet"/>
      <w:lvlText w:val=""/>
      <w:lvlJc w:val="left"/>
      <w:pPr>
        <w:ind w:left="4818" w:hanging="360"/>
      </w:pPr>
      <w:rPr>
        <w:rFonts w:ascii="Wingdings" w:hAnsi="Wingdings" w:hint="default"/>
      </w:rPr>
    </w:lvl>
    <w:lvl w:ilvl="6" w:tplc="04090001" w:tentative="1">
      <w:start w:val="1"/>
      <w:numFmt w:val="bullet"/>
      <w:lvlText w:val=""/>
      <w:lvlJc w:val="left"/>
      <w:pPr>
        <w:ind w:left="5538" w:hanging="360"/>
      </w:pPr>
      <w:rPr>
        <w:rFonts w:ascii="Symbol" w:hAnsi="Symbol" w:hint="default"/>
      </w:rPr>
    </w:lvl>
    <w:lvl w:ilvl="7" w:tplc="04090003" w:tentative="1">
      <w:start w:val="1"/>
      <w:numFmt w:val="bullet"/>
      <w:lvlText w:val="o"/>
      <w:lvlJc w:val="left"/>
      <w:pPr>
        <w:ind w:left="6258" w:hanging="360"/>
      </w:pPr>
      <w:rPr>
        <w:rFonts w:ascii="Courier New" w:hAnsi="Courier New" w:cs="Courier New" w:hint="default"/>
      </w:rPr>
    </w:lvl>
    <w:lvl w:ilvl="8" w:tplc="04090005" w:tentative="1">
      <w:start w:val="1"/>
      <w:numFmt w:val="bullet"/>
      <w:lvlText w:val=""/>
      <w:lvlJc w:val="left"/>
      <w:pPr>
        <w:ind w:left="6978" w:hanging="360"/>
      </w:pPr>
      <w:rPr>
        <w:rFonts w:ascii="Wingdings" w:hAnsi="Wingdings" w:hint="default"/>
      </w:rPr>
    </w:lvl>
  </w:abstractNum>
  <w:abstractNum w:abstractNumId="26" w15:restartNumberingAfterBreak="0">
    <w:nsid w:val="66D84A12"/>
    <w:multiLevelType w:val="hybridMultilevel"/>
    <w:tmpl w:val="AF221D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6"/>
  </w:num>
  <w:num w:numId="12">
    <w:abstractNumId w:val="20"/>
  </w:num>
  <w:num w:numId="13">
    <w:abstractNumId w:val="24"/>
  </w:num>
  <w:num w:numId="14">
    <w:abstractNumId w:val="24"/>
    <w:lvlOverride w:ilvl="0">
      <w:startOverride w:val="1"/>
    </w:lvlOverride>
  </w:num>
  <w:num w:numId="15">
    <w:abstractNumId w:val="24"/>
    <w:lvlOverride w:ilvl="0">
      <w:startOverride w:val="1"/>
    </w:lvlOverride>
  </w:num>
  <w:num w:numId="16">
    <w:abstractNumId w:val="14"/>
  </w:num>
  <w:num w:numId="17">
    <w:abstractNumId w:val="24"/>
    <w:lvlOverride w:ilvl="0">
      <w:startOverride w:val="1"/>
    </w:lvlOverride>
  </w:num>
  <w:num w:numId="18">
    <w:abstractNumId w:val="24"/>
    <w:lvlOverride w:ilvl="0">
      <w:startOverride w:val="1"/>
    </w:lvlOverride>
  </w:num>
  <w:num w:numId="19">
    <w:abstractNumId w:val="13"/>
  </w:num>
  <w:num w:numId="20">
    <w:abstractNumId w:val="23"/>
  </w:num>
  <w:num w:numId="21">
    <w:abstractNumId w:val="21"/>
  </w:num>
  <w:num w:numId="22">
    <w:abstractNumId w:val="18"/>
  </w:num>
  <w:num w:numId="23">
    <w:abstractNumId w:val="12"/>
  </w:num>
  <w:num w:numId="24">
    <w:abstractNumId w:val="19"/>
  </w:num>
  <w:num w:numId="25">
    <w:abstractNumId w:val="26"/>
  </w:num>
  <w:num w:numId="26">
    <w:abstractNumId w:val="15"/>
  </w:num>
  <w:num w:numId="27">
    <w:abstractNumId w:val="10"/>
  </w:num>
  <w:num w:numId="28">
    <w:abstractNumId w:val="11"/>
  </w:num>
  <w:num w:numId="29">
    <w:abstractNumId w:val="17"/>
  </w:num>
  <w:num w:numId="30">
    <w:abstractNumId w:val="22"/>
  </w:num>
  <w:num w:numId="31">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linkStyles/>
  <w:stylePaneSortMethod w:val="00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44261"/>
    <w:rsid w:val="00015AF0"/>
    <w:rsid w:val="00027A3A"/>
    <w:rsid w:val="00031927"/>
    <w:rsid w:val="00052436"/>
    <w:rsid w:val="000668D5"/>
    <w:rsid w:val="0007049B"/>
    <w:rsid w:val="00092066"/>
    <w:rsid w:val="000F57F2"/>
    <w:rsid w:val="00175555"/>
    <w:rsid w:val="001B40CA"/>
    <w:rsid w:val="001C4358"/>
    <w:rsid w:val="001F61EC"/>
    <w:rsid w:val="00255973"/>
    <w:rsid w:val="00275BC5"/>
    <w:rsid w:val="003209EF"/>
    <w:rsid w:val="00321AF1"/>
    <w:rsid w:val="0033481F"/>
    <w:rsid w:val="003541AD"/>
    <w:rsid w:val="00375851"/>
    <w:rsid w:val="003B0271"/>
    <w:rsid w:val="003B6739"/>
    <w:rsid w:val="00407344"/>
    <w:rsid w:val="00407981"/>
    <w:rsid w:val="004160E5"/>
    <w:rsid w:val="00437F9D"/>
    <w:rsid w:val="0049351C"/>
    <w:rsid w:val="004B6F99"/>
    <w:rsid w:val="004F38AB"/>
    <w:rsid w:val="004F5348"/>
    <w:rsid w:val="00535827"/>
    <w:rsid w:val="00551968"/>
    <w:rsid w:val="00587C5A"/>
    <w:rsid w:val="005B2919"/>
    <w:rsid w:val="005C0A26"/>
    <w:rsid w:val="005D7ED7"/>
    <w:rsid w:val="00600816"/>
    <w:rsid w:val="00621DAC"/>
    <w:rsid w:val="0068674E"/>
    <w:rsid w:val="006F33AF"/>
    <w:rsid w:val="00710E9D"/>
    <w:rsid w:val="00771F2B"/>
    <w:rsid w:val="00787493"/>
    <w:rsid w:val="007A2E25"/>
    <w:rsid w:val="007D3F1D"/>
    <w:rsid w:val="007E30E4"/>
    <w:rsid w:val="007F1862"/>
    <w:rsid w:val="0081515F"/>
    <w:rsid w:val="00843BE7"/>
    <w:rsid w:val="008E57AB"/>
    <w:rsid w:val="00900055"/>
    <w:rsid w:val="00910F91"/>
    <w:rsid w:val="00913891"/>
    <w:rsid w:val="00914F38"/>
    <w:rsid w:val="009604A0"/>
    <w:rsid w:val="00967D01"/>
    <w:rsid w:val="00974ECB"/>
    <w:rsid w:val="009C5ACE"/>
    <w:rsid w:val="009C7BA8"/>
    <w:rsid w:val="009D36A8"/>
    <w:rsid w:val="009D568F"/>
    <w:rsid w:val="00A1241D"/>
    <w:rsid w:val="00A318D8"/>
    <w:rsid w:val="00A31B4A"/>
    <w:rsid w:val="00A44EA7"/>
    <w:rsid w:val="00A45BDF"/>
    <w:rsid w:val="00A47B71"/>
    <w:rsid w:val="00AF2A52"/>
    <w:rsid w:val="00B201EB"/>
    <w:rsid w:val="00B251A8"/>
    <w:rsid w:val="00B86CD5"/>
    <w:rsid w:val="00BB181D"/>
    <w:rsid w:val="00BB209F"/>
    <w:rsid w:val="00BB72C3"/>
    <w:rsid w:val="00BD34A3"/>
    <w:rsid w:val="00C35439"/>
    <w:rsid w:val="00C638A7"/>
    <w:rsid w:val="00C67360"/>
    <w:rsid w:val="00C82473"/>
    <w:rsid w:val="00C957A5"/>
    <w:rsid w:val="00CB47BD"/>
    <w:rsid w:val="00CB5317"/>
    <w:rsid w:val="00CC32F9"/>
    <w:rsid w:val="00CE719E"/>
    <w:rsid w:val="00CF0CCC"/>
    <w:rsid w:val="00CF5071"/>
    <w:rsid w:val="00D008D7"/>
    <w:rsid w:val="00D14114"/>
    <w:rsid w:val="00D43D54"/>
    <w:rsid w:val="00D44261"/>
    <w:rsid w:val="00D55404"/>
    <w:rsid w:val="00DB6ECB"/>
    <w:rsid w:val="00DE59E4"/>
    <w:rsid w:val="00DF0DC8"/>
    <w:rsid w:val="00E425B6"/>
    <w:rsid w:val="00E527E8"/>
    <w:rsid w:val="00E822A9"/>
    <w:rsid w:val="00ED46BE"/>
    <w:rsid w:val="00ED6095"/>
    <w:rsid w:val="00EE033C"/>
    <w:rsid w:val="00EF0EE6"/>
    <w:rsid w:val="00F0568F"/>
    <w:rsid w:val="00F126CF"/>
    <w:rsid w:val="00F46145"/>
    <w:rsid w:val="00F93568"/>
    <w:rsid w:val="00FF2C0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56C6CAB1-453D-8A4A-9F12-7FE5D93F1E2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1" w:defUIPriority="99" w:defSemiHidden="0" w:defUnhideWhenUsed="0" w:defQFormat="0" w:count="375">
    <w:lsdException w:name="Normal" w:locked="0" w:uiPriority="0" w:qFormat="1"/>
    <w:lsdException w:name="heading 1" w:locked="0" w:uiPriority="9" w:qFormat="1"/>
    <w:lsdException w:name="heading 2" w:locked="0" w:semiHidden="1" w:uiPriority="9" w:unhideWhenUsed="1" w:qFormat="1"/>
    <w:lsdException w:name="heading 3" w:semiHidden="1" w:uiPriority="9" w:qFormat="1"/>
    <w:lsdException w:name="heading 4" w:semiHidden="1" w:uiPriority="9" w:qFormat="1"/>
    <w:lsdException w:name="heading 5" w:semiHidden="1" w:uiPriority="9" w:qFormat="1"/>
    <w:lsdException w:name="heading 6" w:semiHidden="1" w:uiPriority="9" w:qFormat="1"/>
    <w:lsdException w:name="heading 7" w:semiHidden="1" w:uiPriority="9" w:qFormat="1"/>
    <w:lsdException w:name="heading 8" w:semiHidden="1" w:uiPriority="9" w:qFormat="1"/>
    <w:lsdException w:name="heading 9" w:semiHidden="1" w:uiPriority="9" w:qFormat="1"/>
    <w:lsdException w:name="index 1" w:semiHidden="1"/>
    <w:lsdException w:name="index 2" w:semiHidden="1"/>
    <w:lsdException w:name="index 3" w:semiHidden="1"/>
    <w:lsdException w:name="index 4" w:semiHidden="1"/>
    <w:lsdException w:name="index 5" w:semiHidden="1"/>
    <w:lsdException w:name="index 6" w:semiHidden="1"/>
    <w:lsdException w:name="index 7" w:semiHidden="1"/>
    <w:lsdException w:name="index 8" w:semiHidden="1"/>
    <w:lsdException w:name="index 9" w:semiHidden="1"/>
    <w:lsdException w:name="toc 1" w:uiPriority="39"/>
    <w:lsdException w:name="toc 2" w:uiPriority="39"/>
    <w:lsdException w:name="toc 3" w:semiHidden="1" w:uiPriority="39"/>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lsdException w:name="footnote text" w:semiHidden="1"/>
    <w:lsdException w:name="annotation text" w:semiHidden="1"/>
    <w:lsdException w:name="header" w:locked="0" w:semiHidden="1" w:unhideWhenUsed="1"/>
    <w:lsdException w:name="footer" w:locked="0" w:semiHidden="1" w:unhideWhenUsed="1"/>
    <w:lsdException w:name="index heading" w:semiHidden="1"/>
    <w:lsdException w:name="caption" w:semiHidden="1" w:uiPriority="35" w:qFormat="1"/>
    <w:lsdException w:name="table of figures" w:semiHidden="1"/>
    <w:lsdException w:name="envelope address" w:semiHidden="1"/>
    <w:lsdException w:name="envelope return" w:semiHidden="1"/>
    <w:lsdException w:name="footnote reference" w:semiHidden="1"/>
    <w:lsdException w:name="annotation reference" w:semiHidden="1"/>
    <w:lsdException w:name="line number" w:semiHidden="1"/>
    <w:lsdException w:name="pag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lsdException w:name="List Bullet" w:locked="0" w:semiHidden="1" w:unhideWhenUsed="1"/>
    <w:lsdException w:name="List Number" w:locked="0" w:semiHidden="1" w:unhideWhenUsed="1"/>
    <w:lsdException w:name="List 2" w:semiHidden="1"/>
    <w:lsdException w:name="List 3" w:semiHidden="1"/>
    <w:lsdException w:name="List 4" w:semiHidden="1"/>
    <w:lsdException w:name="List 5" w:semiHidden="1"/>
    <w:lsdException w:name="List Bullet 2" w:locked="0"/>
    <w:lsdException w:name="List Bullet 3" w:semiHidden="1"/>
    <w:lsdException w:name="List Bullet 4" w:semiHidden="1"/>
    <w:lsdException w:name="List Bullet 5" w:semiHidden="1"/>
    <w:lsdException w:name="List Number 2" w:locked="0" w:semiHidden="1" w:unhideWhenUsed="1"/>
    <w:lsdException w:name="List Number 3" w:semiHidden="1"/>
    <w:lsdException w:name="List Number 4" w:semiHidden="1"/>
    <w:lsdException w:name="List Number 5" w:semiHidden="1"/>
    <w:lsdException w:name="Title" w:locked="0" w:uiPriority="10" w:qFormat="1"/>
    <w:lsdException w:name="Closing" w:semiHidden="1"/>
    <w:lsdException w:name="Signature" w:semiHidden="1"/>
    <w:lsdException w:name="Default Paragraph Font" w:locked="0" w:semiHidden="1" w:uiPriority="1" w:unhideWhenUsed="1"/>
    <w:lsdException w:name="Body Text" w:locked="0" w:semiHidden="1" w:unhideWhenUsed="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locked="0" w:uiPriority="11" w:qFormat="1"/>
    <w:lsdException w:name="Salutation" w:semiHidden="1"/>
    <w:lsdException w:name="Date" w:semiHidden="1"/>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unhideWhenUsed="1"/>
    <w:lsdException w:name="Hyperlink" w:semiHidden="1" w:unhideWhenUsed="1"/>
    <w:lsdException w:name="FollowedHyperlink" w:semiHidden="1"/>
    <w:lsdException w:name="Strong" w:semiHidden="1" w:uiPriority="22" w:qFormat="1"/>
    <w:lsdException w:name="Emphasis" w:semiHidden="1" w:uiPriority="20" w:qFormat="1"/>
    <w:lsdException w:name="Document Map" w:semiHidden="1"/>
    <w:lsdException w:name="Plain Text" w:semiHidden="1"/>
    <w:lsdException w:name="E-mail Signature" w:semiHidden="1"/>
    <w:lsdException w:name="HTML Top of Form" w:locked="0" w:semiHidden="1" w:unhideWhenUsed="1"/>
    <w:lsdException w:name="HTML Bottom of Form" w:locked="0"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lsdException w:name="HTML Preformatted" w:semiHidden="1" w:unhideWhenUsed="1"/>
    <w:lsdException w:name="HTML Sample" w:semiHidden="1"/>
    <w:lsdException w:name="HTML Typewriter" w:semiHidden="1"/>
    <w:lsdException w:name="HTML Variable" w:semiHidden="1" w:unhideWhenUsed="1"/>
    <w:lsdException w:name="Normal Table" w:locked="0" w:semiHidden="1" w:unhideWhenUsed="1"/>
    <w:lsdException w:name="annotation subject" w:semiHidden="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semiHidden="1" w:uiPriority="34" w:qFormat="1"/>
    <w:lsdException w:name="Quote" w:locked="0"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locked="0"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atentStyles>
  <w:style w:type="paragraph" w:default="1" w:styleId="Normal">
    <w:name w:val="Normal"/>
    <w:qFormat/>
    <w:rsid w:val="00092066"/>
  </w:style>
  <w:style w:type="paragraph" w:styleId="Heading1">
    <w:name w:val="heading 1"/>
    <w:basedOn w:val="Normal"/>
    <w:next w:val="Normal"/>
    <w:link w:val="Heading1Char"/>
    <w:uiPriority w:val="9"/>
    <w:qFormat/>
    <w:rsid w:val="00B201EB"/>
    <w:pPr>
      <w:keepNext/>
      <w:keepLines/>
      <w:spacing w:before="240" w:after="80"/>
      <w:outlineLvl w:val="0"/>
    </w:pPr>
    <w:rPr>
      <w:rFonts w:eastAsiaTheme="majorEastAsia" w:cs="Arial"/>
      <w:b/>
      <w:color w:val="E12726"/>
      <w:sz w:val="28"/>
    </w:rPr>
  </w:style>
  <w:style w:type="paragraph" w:styleId="Heading2">
    <w:name w:val="heading 2"/>
    <w:basedOn w:val="Normal"/>
    <w:next w:val="Normal"/>
    <w:link w:val="Heading2Char"/>
    <w:uiPriority w:val="9"/>
    <w:qFormat/>
    <w:rsid w:val="00B201EB"/>
    <w:pPr>
      <w:keepNext/>
      <w:keepLines/>
      <w:spacing w:after="60" w:line="240" w:lineRule="atLeast"/>
      <w:outlineLvl w:val="1"/>
    </w:pPr>
    <w:rPr>
      <w:rFonts w:cs="Arial"/>
      <w:b/>
    </w:rPr>
  </w:style>
  <w:style w:type="paragraph" w:styleId="Heading3">
    <w:name w:val="heading 3"/>
    <w:basedOn w:val="Normal"/>
    <w:next w:val="Normal"/>
    <w:link w:val="Heading3Char"/>
    <w:uiPriority w:val="9"/>
    <w:semiHidden/>
    <w:qFormat/>
    <w:locked/>
    <w:rsid w:val="00B201EB"/>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semiHidden/>
    <w:qFormat/>
    <w:locked/>
    <w:rsid w:val="00B201EB"/>
    <w:pPr>
      <w:keepNext/>
      <w:keepLines/>
      <w:spacing w:before="40" w:after="0"/>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semiHidden/>
    <w:qFormat/>
    <w:locked/>
    <w:rsid w:val="00B201EB"/>
    <w:pPr>
      <w:keepNext/>
      <w:keepLines/>
      <w:spacing w:before="40" w:after="0"/>
      <w:outlineLvl w:val="4"/>
    </w:pPr>
    <w:rPr>
      <w:rFonts w:asciiTheme="majorHAnsi" w:eastAsiaTheme="majorEastAsia" w:hAnsiTheme="majorHAnsi" w:cstheme="majorBidi"/>
      <w:color w:val="2E74B5" w:themeColor="accent1" w:themeShade="BF"/>
    </w:rPr>
  </w:style>
  <w:style w:type="character" w:default="1" w:styleId="DefaultParagraphFont">
    <w:name w:val="Default Paragraph Font"/>
    <w:uiPriority w:val="1"/>
    <w:semiHidden/>
    <w:unhideWhenUsed/>
    <w:rsid w:val="00092066"/>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rsid w:val="00092066"/>
  </w:style>
  <w:style w:type="paragraph" w:styleId="Header">
    <w:name w:val="header"/>
    <w:basedOn w:val="Normal"/>
    <w:link w:val="HeaderChar"/>
    <w:uiPriority w:val="99"/>
    <w:rsid w:val="00B201EB"/>
    <w:pPr>
      <w:pBdr>
        <w:bottom w:val="single" w:sz="8" w:space="6" w:color="E12726"/>
      </w:pBdr>
      <w:tabs>
        <w:tab w:val="center" w:pos="4680"/>
        <w:tab w:val="right" w:pos="9360"/>
      </w:tabs>
      <w:spacing w:after="0" w:line="240" w:lineRule="auto"/>
      <w:jc w:val="right"/>
    </w:pPr>
    <w:rPr>
      <w:b/>
      <w:sz w:val="16"/>
      <w:szCs w:val="16"/>
    </w:rPr>
  </w:style>
  <w:style w:type="character" w:customStyle="1" w:styleId="HeaderChar">
    <w:name w:val="Header Char"/>
    <w:basedOn w:val="DefaultParagraphFont"/>
    <w:link w:val="Header"/>
    <w:uiPriority w:val="99"/>
    <w:rsid w:val="00B201EB"/>
    <w:rPr>
      <w:rFonts w:ascii="Arial" w:hAnsi="Arial"/>
      <w:b/>
      <w:sz w:val="16"/>
      <w:szCs w:val="16"/>
    </w:rPr>
  </w:style>
  <w:style w:type="paragraph" w:styleId="Footer">
    <w:name w:val="footer"/>
    <w:basedOn w:val="Normal"/>
    <w:link w:val="FooterChar"/>
    <w:uiPriority w:val="99"/>
    <w:rsid w:val="00B201EB"/>
    <w:pPr>
      <w:pBdr>
        <w:top w:val="single" w:sz="8" w:space="6" w:color="E12726"/>
      </w:pBdr>
      <w:tabs>
        <w:tab w:val="center" w:pos="4680"/>
        <w:tab w:val="right" w:pos="9360"/>
      </w:tabs>
      <w:spacing w:after="0" w:line="240" w:lineRule="auto"/>
    </w:pPr>
    <w:rPr>
      <w:b/>
      <w:sz w:val="16"/>
      <w:szCs w:val="16"/>
    </w:rPr>
  </w:style>
  <w:style w:type="character" w:customStyle="1" w:styleId="FooterChar">
    <w:name w:val="Footer Char"/>
    <w:basedOn w:val="DefaultParagraphFont"/>
    <w:link w:val="Footer"/>
    <w:uiPriority w:val="99"/>
    <w:rsid w:val="00B201EB"/>
    <w:rPr>
      <w:rFonts w:ascii="Arial" w:hAnsi="Arial"/>
      <w:b/>
      <w:sz w:val="16"/>
      <w:szCs w:val="16"/>
    </w:rPr>
  </w:style>
  <w:style w:type="paragraph" w:styleId="Title">
    <w:name w:val="Title"/>
    <w:basedOn w:val="Normal"/>
    <w:next w:val="Normal"/>
    <w:link w:val="TitleChar"/>
    <w:uiPriority w:val="10"/>
    <w:qFormat/>
    <w:rsid w:val="00B201EB"/>
    <w:pPr>
      <w:spacing w:before="4720" w:after="120"/>
      <w:ind w:left="270"/>
    </w:pPr>
    <w:rPr>
      <w:rFonts w:cs="Arial"/>
      <w:color w:val="000000" w:themeColor="text1"/>
      <w:sz w:val="64"/>
      <w:szCs w:val="64"/>
    </w:rPr>
  </w:style>
  <w:style w:type="character" w:customStyle="1" w:styleId="TitleChar">
    <w:name w:val="Title Char"/>
    <w:basedOn w:val="DefaultParagraphFont"/>
    <w:link w:val="Title"/>
    <w:uiPriority w:val="10"/>
    <w:rsid w:val="00B201EB"/>
    <w:rPr>
      <w:rFonts w:ascii="Arial" w:hAnsi="Arial" w:cs="Arial"/>
      <w:color w:val="000000" w:themeColor="text1"/>
      <w:sz w:val="64"/>
      <w:szCs w:val="64"/>
    </w:rPr>
  </w:style>
  <w:style w:type="paragraph" w:customStyle="1" w:styleId="IntroParagraph">
    <w:name w:val="Intro Paragraph"/>
    <w:basedOn w:val="Normal"/>
    <w:qFormat/>
    <w:rsid w:val="00B201EB"/>
    <w:pPr>
      <w:spacing w:after="480"/>
    </w:pPr>
    <w:rPr>
      <w:rFonts w:cs="Arial"/>
      <w:b/>
      <w:sz w:val="18"/>
      <w:szCs w:val="18"/>
    </w:rPr>
  </w:style>
  <w:style w:type="character" w:customStyle="1" w:styleId="Heading1Char">
    <w:name w:val="Heading 1 Char"/>
    <w:basedOn w:val="DefaultParagraphFont"/>
    <w:link w:val="Heading1"/>
    <w:uiPriority w:val="9"/>
    <w:rsid w:val="00B201EB"/>
    <w:rPr>
      <w:rFonts w:ascii="Arial" w:eastAsiaTheme="majorEastAsia" w:hAnsi="Arial" w:cs="Arial"/>
      <w:b/>
      <w:color w:val="E12726"/>
      <w:sz w:val="28"/>
    </w:rPr>
  </w:style>
  <w:style w:type="paragraph" w:styleId="BodyText">
    <w:name w:val="Body Text"/>
    <w:basedOn w:val="Normal"/>
    <w:link w:val="BodyTextChar"/>
    <w:uiPriority w:val="99"/>
    <w:rsid w:val="00B201EB"/>
    <w:pPr>
      <w:spacing w:after="120"/>
    </w:pPr>
    <w:rPr>
      <w:rFonts w:cs="Arial"/>
      <w:sz w:val="18"/>
      <w:szCs w:val="17"/>
    </w:rPr>
  </w:style>
  <w:style w:type="character" w:customStyle="1" w:styleId="BodyTextChar">
    <w:name w:val="Body Text Char"/>
    <w:basedOn w:val="DefaultParagraphFont"/>
    <w:link w:val="BodyText"/>
    <w:uiPriority w:val="99"/>
    <w:rsid w:val="00B201EB"/>
    <w:rPr>
      <w:rFonts w:ascii="Arial" w:hAnsi="Arial" w:cs="Arial"/>
      <w:sz w:val="18"/>
      <w:szCs w:val="17"/>
    </w:rPr>
  </w:style>
  <w:style w:type="character" w:customStyle="1" w:styleId="Heading2Char">
    <w:name w:val="Heading 2 Char"/>
    <w:basedOn w:val="DefaultParagraphFont"/>
    <w:link w:val="Heading2"/>
    <w:uiPriority w:val="9"/>
    <w:rsid w:val="00B201EB"/>
    <w:rPr>
      <w:rFonts w:ascii="Arial" w:hAnsi="Arial" w:cs="Arial"/>
      <w:b/>
    </w:rPr>
  </w:style>
  <w:style w:type="paragraph" w:styleId="Quote">
    <w:name w:val="Quote"/>
    <w:aliases w:val="Quote with attribution"/>
    <w:basedOn w:val="Normal"/>
    <w:next w:val="Normal"/>
    <w:link w:val="QuoteChar"/>
    <w:uiPriority w:val="29"/>
    <w:qFormat/>
    <w:rsid w:val="00B201EB"/>
    <w:pPr>
      <w:pBdr>
        <w:top w:val="single" w:sz="4" w:space="14" w:color="E12726"/>
      </w:pBdr>
      <w:spacing w:after="120"/>
      <w:ind w:left="540" w:right="540"/>
    </w:pPr>
    <w:rPr>
      <w:rFonts w:cs="Arial"/>
      <w:i/>
      <w:color w:val="55565A"/>
      <w:sz w:val="19"/>
      <w:szCs w:val="19"/>
    </w:rPr>
  </w:style>
  <w:style w:type="character" w:customStyle="1" w:styleId="QuoteChar">
    <w:name w:val="Quote Char"/>
    <w:aliases w:val="Quote with attribution Char"/>
    <w:basedOn w:val="DefaultParagraphFont"/>
    <w:link w:val="Quote"/>
    <w:uiPriority w:val="29"/>
    <w:rsid w:val="00B201EB"/>
    <w:rPr>
      <w:rFonts w:ascii="Arial" w:hAnsi="Arial" w:cs="Arial"/>
      <w:i/>
      <w:color w:val="55565A"/>
      <w:sz w:val="19"/>
      <w:szCs w:val="19"/>
    </w:rPr>
  </w:style>
  <w:style w:type="paragraph" w:customStyle="1" w:styleId="QuoteName">
    <w:name w:val="Quote Name"/>
    <w:basedOn w:val="Normal"/>
    <w:qFormat/>
    <w:rsid w:val="00B201EB"/>
    <w:pPr>
      <w:spacing w:after="0"/>
      <w:ind w:left="540" w:right="540"/>
      <w:jc w:val="right"/>
    </w:pPr>
    <w:rPr>
      <w:rFonts w:cs="Arial"/>
      <w:b/>
      <w:sz w:val="18"/>
      <w:szCs w:val="17"/>
    </w:rPr>
  </w:style>
  <w:style w:type="paragraph" w:customStyle="1" w:styleId="QuotePositionTitle">
    <w:name w:val="Quote Position Title"/>
    <w:basedOn w:val="Normal"/>
    <w:qFormat/>
    <w:rsid w:val="00B201EB"/>
    <w:pPr>
      <w:pBdr>
        <w:bottom w:val="single" w:sz="4" w:space="14" w:color="E12726"/>
      </w:pBdr>
      <w:spacing w:after="180" w:line="240" w:lineRule="auto"/>
      <w:ind w:left="540" w:right="540"/>
      <w:jc w:val="right"/>
    </w:pPr>
    <w:rPr>
      <w:rFonts w:cs="Arial"/>
      <w:sz w:val="17"/>
      <w:szCs w:val="17"/>
    </w:rPr>
  </w:style>
  <w:style w:type="paragraph" w:styleId="BlockText">
    <w:name w:val="Block Text"/>
    <w:basedOn w:val="Normal"/>
    <w:uiPriority w:val="99"/>
    <w:semiHidden/>
    <w:locked/>
    <w:rsid w:val="00B201EB"/>
    <w:pPr>
      <w:pBdr>
        <w:top w:val="single" w:sz="2" w:space="10" w:color="5B9BD5" w:themeColor="accent1" w:shadow="1"/>
        <w:left w:val="single" w:sz="2" w:space="10" w:color="5B9BD5" w:themeColor="accent1" w:shadow="1"/>
        <w:bottom w:val="single" w:sz="2" w:space="10" w:color="5B9BD5" w:themeColor="accent1" w:shadow="1"/>
        <w:right w:val="single" w:sz="2" w:space="10" w:color="5B9BD5" w:themeColor="accent1" w:shadow="1"/>
      </w:pBdr>
      <w:ind w:left="1152" w:right="1152"/>
    </w:pPr>
    <w:rPr>
      <w:rFonts w:eastAsiaTheme="minorEastAsia"/>
      <w:i/>
      <w:iCs/>
      <w:color w:val="5B9BD5" w:themeColor="accent1"/>
    </w:rPr>
  </w:style>
  <w:style w:type="paragraph" w:styleId="ListBullet">
    <w:name w:val="List Bullet"/>
    <w:basedOn w:val="Normal"/>
    <w:uiPriority w:val="99"/>
    <w:rsid w:val="00B201EB"/>
    <w:pPr>
      <w:keepLines/>
      <w:numPr>
        <w:numId w:val="12"/>
      </w:numPr>
      <w:spacing w:after="80"/>
      <w:ind w:left="273" w:hanging="187"/>
    </w:pPr>
    <w:rPr>
      <w:rFonts w:cs="Arial"/>
      <w:sz w:val="18"/>
      <w:szCs w:val="17"/>
    </w:rPr>
  </w:style>
  <w:style w:type="paragraph" w:customStyle="1" w:styleId="Legal">
    <w:name w:val="Legal"/>
    <w:basedOn w:val="Normal"/>
    <w:qFormat/>
    <w:rsid w:val="00B201EB"/>
    <w:pPr>
      <w:spacing w:before="240" w:after="0"/>
    </w:pPr>
    <w:rPr>
      <w:sz w:val="12"/>
      <w:szCs w:val="12"/>
    </w:rPr>
  </w:style>
  <w:style w:type="table" w:styleId="TableGrid">
    <w:name w:val="Table Grid"/>
    <w:aliases w:val="1 Ivanti Style"/>
    <w:basedOn w:val="TableNormal"/>
    <w:uiPriority w:val="39"/>
    <w:locked/>
    <w:rsid w:val="00B20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alltoactiontabletext">
    <w:name w:val="Call to action table text"/>
    <w:basedOn w:val="Normal"/>
    <w:qFormat/>
    <w:rsid w:val="00B201EB"/>
    <w:pPr>
      <w:spacing w:after="0"/>
    </w:pPr>
    <w:rPr>
      <w:b/>
      <w:color w:val="FFFFFF" w:themeColor="background1"/>
    </w:rPr>
  </w:style>
  <w:style w:type="character" w:styleId="Hyperlink">
    <w:name w:val="Hyperlink"/>
    <w:basedOn w:val="DefaultParagraphFont"/>
    <w:uiPriority w:val="99"/>
    <w:locked/>
    <w:rsid w:val="00B201EB"/>
    <w:rPr>
      <w:noProof/>
      <w:color w:val="55565A"/>
      <w:sz w:val="20"/>
      <w:szCs w:val="20"/>
    </w:rPr>
  </w:style>
  <w:style w:type="paragraph" w:styleId="ListBullet2">
    <w:name w:val="List Bullet 2"/>
    <w:basedOn w:val="Normal"/>
    <w:uiPriority w:val="99"/>
    <w:rsid w:val="00B201EB"/>
    <w:pPr>
      <w:keepLines/>
      <w:numPr>
        <w:numId w:val="16"/>
      </w:numPr>
      <w:spacing w:after="120"/>
      <w:ind w:left="547" w:hanging="187"/>
    </w:pPr>
    <w:rPr>
      <w:sz w:val="18"/>
      <w:szCs w:val="17"/>
    </w:rPr>
  </w:style>
  <w:style w:type="paragraph" w:styleId="ListNumber">
    <w:name w:val="List Number"/>
    <w:basedOn w:val="BodyText"/>
    <w:uiPriority w:val="99"/>
    <w:rsid w:val="00B201EB"/>
    <w:pPr>
      <w:numPr>
        <w:numId w:val="14"/>
      </w:numPr>
      <w:spacing w:after="40" w:line="240" w:lineRule="atLeast"/>
      <w:ind w:left="270" w:hanging="184"/>
    </w:pPr>
  </w:style>
  <w:style w:type="paragraph" w:styleId="ListNumber2">
    <w:name w:val="List Number 2"/>
    <w:basedOn w:val="ListNumber"/>
    <w:uiPriority w:val="99"/>
    <w:rsid w:val="00B201EB"/>
    <w:pPr>
      <w:numPr>
        <w:ilvl w:val="1"/>
      </w:numPr>
      <w:ind w:left="540" w:hanging="180"/>
    </w:pPr>
  </w:style>
  <w:style w:type="paragraph" w:customStyle="1" w:styleId="TableTitle">
    <w:name w:val="Table Title"/>
    <w:basedOn w:val="Normal"/>
    <w:qFormat/>
    <w:rsid w:val="00B201EB"/>
    <w:pPr>
      <w:spacing w:after="120"/>
    </w:pPr>
    <w:rPr>
      <w:color w:val="55565A"/>
    </w:rPr>
  </w:style>
  <w:style w:type="paragraph" w:customStyle="1" w:styleId="TableHeadingText">
    <w:name w:val="Table Heading Text"/>
    <w:basedOn w:val="TableTitle"/>
    <w:qFormat/>
    <w:rsid w:val="00B201EB"/>
    <w:pPr>
      <w:spacing w:after="0" w:line="240" w:lineRule="auto"/>
      <w:contextualSpacing/>
      <w:jc w:val="center"/>
    </w:pPr>
    <w:rPr>
      <w:b/>
      <w:color w:val="FFFFFF" w:themeColor="background1"/>
      <w:sz w:val="16"/>
    </w:rPr>
  </w:style>
  <w:style w:type="paragraph" w:customStyle="1" w:styleId="TableBodyText">
    <w:name w:val="Table Body Text"/>
    <w:basedOn w:val="TableTitle"/>
    <w:qFormat/>
    <w:rsid w:val="00B201EB"/>
    <w:pPr>
      <w:spacing w:after="0" w:line="240" w:lineRule="auto"/>
      <w:contextualSpacing/>
      <w:jc w:val="center"/>
    </w:pPr>
    <w:rPr>
      <w:rFonts w:cs="Arial"/>
      <w:b/>
      <w:sz w:val="16"/>
    </w:rPr>
  </w:style>
  <w:style w:type="paragraph" w:customStyle="1" w:styleId="TableBullet1">
    <w:name w:val="Table Bullet 1"/>
    <w:basedOn w:val="ListBullet2"/>
    <w:qFormat/>
    <w:rsid w:val="00B201EB"/>
    <w:pPr>
      <w:numPr>
        <w:numId w:val="2"/>
      </w:numPr>
      <w:spacing w:after="0" w:line="240" w:lineRule="auto"/>
      <w:ind w:left="346" w:hanging="274"/>
    </w:pPr>
    <w:rPr>
      <w:color w:val="55565A"/>
    </w:rPr>
  </w:style>
  <w:style w:type="paragraph" w:customStyle="1" w:styleId="TableNumber">
    <w:name w:val="Table Number"/>
    <w:basedOn w:val="ListNumber"/>
    <w:qFormat/>
    <w:rsid w:val="00B201EB"/>
    <w:pPr>
      <w:ind w:left="348"/>
    </w:pPr>
    <w:rPr>
      <w:color w:val="55565A"/>
    </w:rPr>
  </w:style>
  <w:style w:type="paragraph" w:styleId="Subtitle">
    <w:name w:val="Subtitle"/>
    <w:basedOn w:val="Normal"/>
    <w:next w:val="Normal"/>
    <w:link w:val="SubtitleChar"/>
    <w:uiPriority w:val="11"/>
    <w:qFormat/>
    <w:rsid w:val="00B201EB"/>
    <w:pPr>
      <w:spacing w:after="0"/>
      <w:ind w:left="270"/>
    </w:pPr>
    <w:rPr>
      <w:b/>
      <w:color w:val="000000" w:themeColor="text1"/>
      <w:sz w:val="28"/>
      <w:szCs w:val="28"/>
    </w:rPr>
  </w:style>
  <w:style w:type="character" w:customStyle="1" w:styleId="SubtitleChar">
    <w:name w:val="Subtitle Char"/>
    <w:basedOn w:val="DefaultParagraphFont"/>
    <w:link w:val="Subtitle"/>
    <w:uiPriority w:val="11"/>
    <w:rsid w:val="00B201EB"/>
    <w:rPr>
      <w:rFonts w:ascii="Arial" w:hAnsi="Arial"/>
      <w:b/>
      <w:color w:val="000000" w:themeColor="text1"/>
      <w:sz w:val="28"/>
      <w:szCs w:val="28"/>
    </w:rPr>
  </w:style>
  <w:style w:type="paragraph" w:styleId="TOCHeading">
    <w:name w:val="TOC Heading"/>
    <w:basedOn w:val="Heading1"/>
    <w:next w:val="Normal"/>
    <w:uiPriority w:val="39"/>
    <w:qFormat/>
    <w:rsid w:val="00B201EB"/>
    <w:pPr>
      <w:pBdr>
        <w:bottom w:val="single" w:sz="12" w:space="10" w:color="E12726"/>
      </w:pBdr>
      <w:spacing w:before="1040" w:after="240"/>
      <w:ind w:left="1440" w:right="1166"/>
      <w:outlineLvl w:val="9"/>
    </w:pPr>
    <w:rPr>
      <w:b w:val="0"/>
      <w:color w:val="000000" w:themeColor="text1"/>
      <w:sz w:val="40"/>
      <w:szCs w:val="32"/>
    </w:rPr>
  </w:style>
  <w:style w:type="paragraph" w:styleId="TOC1">
    <w:name w:val="toc 1"/>
    <w:basedOn w:val="Normal"/>
    <w:next w:val="Normal"/>
    <w:autoRedefine/>
    <w:uiPriority w:val="39"/>
    <w:locked/>
    <w:rsid w:val="00B201EB"/>
    <w:pPr>
      <w:tabs>
        <w:tab w:val="right" w:leader="dot" w:pos="9540"/>
      </w:tabs>
      <w:spacing w:after="80" w:line="240" w:lineRule="exact"/>
      <w:ind w:left="576" w:right="446"/>
    </w:pPr>
    <w:rPr>
      <w:sz w:val="21"/>
    </w:rPr>
  </w:style>
  <w:style w:type="paragraph" w:styleId="TOC2">
    <w:name w:val="toc 2"/>
    <w:basedOn w:val="TOC1"/>
    <w:next w:val="Normal"/>
    <w:autoRedefine/>
    <w:uiPriority w:val="39"/>
    <w:locked/>
    <w:rsid w:val="00B201EB"/>
    <w:pPr>
      <w:ind w:left="864"/>
    </w:pPr>
  </w:style>
  <w:style w:type="paragraph" w:customStyle="1" w:styleId="Disclaimer">
    <w:name w:val="Disclaimer"/>
    <w:basedOn w:val="Normal"/>
    <w:qFormat/>
    <w:rsid w:val="00B201EB"/>
    <w:pPr>
      <w:spacing w:after="120" w:line="180" w:lineRule="exact"/>
      <w:ind w:left="5400"/>
    </w:pPr>
    <w:rPr>
      <w:color w:val="55565A"/>
      <w:sz w:val="13"/>
      <w:szCs w:val="13"/>
    </w:rPr>
  </w:style>
  <w:style w:type="paragraph" w:customStyle="1" w:styleId="Chaptertitle">
    <w:name w:val="Chapter title"/>
    <w:basedOn w:val="Normal"/>
    <w:qFormat/>
    <w:rsid w:val="00B201EB"/>
    <w:pPr>
      <w:spacing w:before="480" w:line="360" w:lineRule="atLeast"/>
    </w:pPr>
    <w:rPr>
      <w:color w:val="000000" w:themeColor="text1"/>
      <w:sz w:val="52"/>
    </w:rPr>
  </w:style>
  <w:style w:type="table" w:customStyle="1" w:styleId="TableGrid1">
    <w:name w:val="Table Grid1"/>
    <w:basedOn w:val="TableNormal"/>
    <w:next w:val="TableGrid"/>
    <w:uiPriority w:val="39"/>
    <w:rsid w:val="00B201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odyCheckMark">
    <w:name w:val="Table Body Check Mark"/>
    <w:basedOn w:val="TableBodyText"/>
    <w:qFormat/>
    <w:rsid w:val="00B201EB"/>
    <w:rPr>
      <w:color w:val="E12726"/>
    </w:rPr>
  </w:style>
  <w:style w:type="paragraph" w:customStyle="1" w:styleId="ListBulletBold">
    <w:name w:val="List Bullet Bold"/>
    <w:basedOn w:val="ListBullet"/>
    <w:qFormat/>
    <w:rsid w:val="00B201EB"/>
    <w:rPr>
      <w:b/>
    </w:rPr>
  </w:style>
  <w:style w:type="character" w:customStyle="1" w:styleId="Heading4Char">
    <w:name w:val="Heading 4 Char"/>
    <w:basedOn w:val="DefaultParagraphFont"/>
    <w:link w:val="Heading4"/>
    <w:uiPriority w:val="9"/>
    <w:semiHidden/>
    <w:rsid w:val="00B201EB"/>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semiHidden/>
    <w:rsid w:val="00B201EB"/>
    <w:rPr>
      <w:rFonts w:asciiTheme="majorHAnsi" w:eastAsiaTheme="majorEastAsia" w:hAnsiTheme="majorHAnsi" w:cstheme="majorBidi"/>
      <w:color w:val="2E74B5" w:themeColor="accent1" w:themeShade="BF"/>
    </w:rPr>
  </w:style>
  <w:style w:type="character" w:customStyle="1" w:styleId="Heading3Char">
    <w:name w:val="Heading 3 Char"/>
    <w:basedOn w:val="DefaultParagraphFont"/>
    <w:link w:val="Heading3"/>
    <w:uiPriority w:val="9"/>
    <w:semiHidden/>
    <w:rsid w:val="00B201EB"/>
    <w:rPr>
      <w:rFonts w:asciiTheme="majorHAnsi" w:eastAsiaTheme="majorEastAsia" w:hAnsiTheme="majorHAnsi" w:cstheme="majorBidi"/>
      <w:color w:val="1F4D78" w:themeColor="accent1" w:themeShade="7F"/>
      <w:sz w:val="24"/>
      <w:szCs w:val="24"/>
    </w:rPr>
  </w:style>
  <w:style w:type="paragraph" w:styleId="TOC3">
    <w:name w:val="toc 3"/>
    <w:basedOn w:val="TOC2"/>
    <w:next w:val="Normal"/>
    <w:autoRedefine/>
    <w:uiPriority w:val="39"/>
    <w:locked/>
    <w:rsid w:val="00B201EB"/>
  </w:style>
  <w:style w:type="paragraph" w:customStyle="1" w:styleId="CTAtableheadline">
    <w:name w:val="CTA table headline"/>
    <w:basedOn w:val="TableHeadingText"/>
    <w:qFormat/>
    <w:rsid w:val="00B201EB"/>
    <w:pPr>
      <w:framePr w:hSpace="180" w:wrap="around" w:vAnchor="text" w:hAnchor="margin" w:xAlign="right" w:y="127"/>
      <w:spacing w:line="260" w:lineRule="auto"/>
      <w:jc w:val="left"/>
    </w:pPr>
    <w:rPr>
      <w:rFonts w:eastAsia="Calibri" w:cs="Arial"/>
      <w:color w:val="FFFFFF"/>
      <w:sz w:val="20"/>
    </w:rPr>
  </w:style>
  <w:style w:type="paragraph" w:customStyle="1" w:styleId="CTAtablecontent">
    <w:name w:val="CTA table content"/>
    <w:basedOn w:val="TableBodyText"/>
    <w:qFormat/>
    <w:rsid w:val="00B201EB"/>
    <w:pPr>
      <w:framePr w:hSpace="187" w:wrap="around" w:vAnchor="text" w:hAnchor="margin" w:xAlign="right" w:y="87"/>
      <w:spacing w:before="30" w:after="30" w:line="259" w:lineRule="auto"/>
      <w:ind w:left="144"/>
      <w:contextualSpacing w:val="0"/>
      <w:jc w:val="left"/>
    </w:pPr>
    <w:rPr>
      <w:rFonts w:eastAsia="Calibri"/>
      <w:color w:val="000000" w:themeColor="text1"/>
      <w:sz w:val="20"/>
      <w:szCs w:val="20"/>
    </w:rPr>
  </w:style>
  <w:style w:type="paragraph" w:styleId="ListParagraph">
    <w:name w:val="List Paragraph"/>
    <w:basedOn w:val="Normal"/>
    <w:uiPriority w:val="34"/>
    <w:qFormat/>
    <w:locked/>
    <w:rsid w:val="00B201EB"/>
    <w:pPr>
      <w:ind w:left="720"/>
      <w:contextualSpacing/>
    </w:pPr>
  </w:style>
  <w:style w:type="paragraph" w:styleId="BalloonText">
    <w:name w:val="Balloon Text"/>
    <w:basedOn w:val="Normal"/>
    <w:link w:val="BalloonTextChar"/>
    <w:uiPriority w:val="99"/>
    <w:semiHidden/>
    <w:locked/>
    <w:rsid w:val="00D44261"/>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D44261"/>
    <w:rPr>
      <w:rFonts w:ascii="Times New Roman" w:hAnsi="Times New Roman" w:cs="Times New Roman"/>
      <w:sz w:val="18"/>
      <w:szCs w:val="18"/>
    </w:rPr>
  </w:style>
  <w:style w:type="character" w:styleId="FollowedHyperlink">
    <w:name w:val="FollowedHyperlink"/>
    <w:basedOn w:val="DefaultParagraphFont"/>
    <w:uiPriority w:val="99"/>
    <w:semiHidden/>
    <w:locked/>
    <w:rsid w:val="006F33A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oter" Target="footer2.xml"/><Relationship Id="rId18" Type="http://schemas.openxmlformats.org/officeDocument/2006/relationships/hyperlink" Target="http://www.ivanti.com/" TargetMode="External"/><Relationship Id="rId3" Type="http://schemas.openxmlformats.org/officeDocument/2006/relationships/styles" Target="styles.xml"/><Relationship Id="rId21" Type="http://schemas.openxmlformats.org/officeDocument/2006/relationships/image" Target="media/image6.png"/><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image" Target="media/image3.jpeg"/><Relationship Id="rId2" Type="http://schemas.openxmlformats.org/officeDocument/2006/relationships/numbering" Target="numbering.xml"/><Relationship Id="rId16" Type="http://schemas.openxmlformats.org/officeDocument/2006/relationships/hyperlink" Target="https://www.ivanti.com/company/legal/privacy-policy" TargetMode="External"/><Relationship Id="rId20" Type="http://schemas.openxmlformats.org/officeDocument/2006/relationships/image" Target="media/image5.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hyperlink" Target="https://community.ivanti.com/docs/DOC-67844" TargetMode="External"/><Relationship Id="rId23" Type="http://schemas.openxmlformats.org/officeDocument/2006/relationships/theme" Target="theme/theme1.xml"/><Relationship Id="rId10" Type="http://schemas.openxmlformats.org/officeDocument/2006/relationships/header" Target="header1.xml"/><Relationship Id="rId19" Type="http://schemas.openxmlformats.org/officeDocument/2006/relationships/image" Target="media/image4.png"/><Relationship Id="rId4" Type="http://schemas.openxmlformats.org/officeDocument/2006/relationships/settings" Target="settings.xml"/><Relationship Id="rId9" Type="http://schemas.openxmlformats.org/officeDocument/2006/relationships/hyperlink" Target="http://www.Ivanti.com/" TargetMode="External"/><Relationship Id="rId14" Type="http://schemas.openxmlformats.org/officeDocument/2006/relationships/hyperlink" Target="https://www.ivanti.com/company/legal/privacy-policy" TargetMode="External"/><Relationship Id="rId22"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1D74C60-C67D-4416-B5CE-5C324CE703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6</Pages>
  <Words>2210</Words>
  <Characters>12597</Characters>
  <Application>Microsoft Office Word</Application>
  <DocSecurity>0</DocSecurity>
  <Lines>104</Lines>
  <Paragraphs>29</Paragraphs>
  <ScaleCrop>false</ScaleCrop>
  <HeadingPairs>
    <vt:vector size="2" baseType="variant">
      <vt:variant>
        <vt:lpstr>Title</vt:lpstr>
      </vt:variant>
      <vt:variant>
        <vt:i4>1</vt:i4>
      </vt:variant>
    </vt:vector>
  </HeadingPairs>
  <TitlesOfParts>
    <vt:vector size="1" baseType="lpstr">
      <vt:lpstr/>
    </vt:vector>
  </TitlesOfParts>
  <Manager/>
  <Company/>
  <LinksUpToDate>false</LinksUpToDate>
  <CharactersWithSpaces>14778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 Longhurst</dc:creator>
  <cp:keywords/>
  <dc:description/>
  <cp:lastModifiedBy>Amber Boehm</cp:lastModifiedBy>
  <cp:revision>2</cp:revision>
  <dcterms:created xsi:type="dcterms:W3CDTF">2019-03-20T19:39:00Z</dcterms:created>
  <dcterms:modified xsi:type="dcterms:W3CDTF">2019-03-20T19:39:00Z</dcterms:modified>
  <cp:category/>
</cp:coreProperties>
</file>